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923" w:type="dxa"/>
        <w:tblInd w:w="-142" w:type="dxa"/>
        <w:tblLayout w:type="fixed"/>
        <w:tblLook w:val="0000" w:firstRow="0" w:lastRow="0" w:firstColumn="0" w:lastColumn="0" w:noHBand="0" w:noVBand="0"/>
      </w:tblPr>
      <w:tblGrid>
        <w:gridCol w:w="4395"/>
        <w:gridCol w:w="5528"/>
      </w:tblGrid>
      <w:tr w:rsidR="00D2154F" w:rsidTr="00920909">
        <w:trPr>
          <w:trHeight w:val="557"/>
        </w:trPr>
        <w:tc>
          <w:tcPr>
            <w:tcW w:w="4395" w:type="dxa"/>
          </w:tcPr>
          <w:p w:rsidR="00D2154F" w:rsidRDefault="00BE72F1">
            <w:pPr>
              <w:spacing w:after="0" w:line="240" w:lineRule="auto"/>
              <w:ind w:left="-108" w:right="-152"/>
              <w:rPr>
                <w:rFonts w:ascii="Times New Roman" w:eastAsia="Times New Roman" w:hAnsi="Times New Roman" w:cs="Times New Roman"/>
                <w:b/>
                <w:sz w:val="26"/>
                <w:szCs w:val="26"/>
              </w:rPr>
            </w:pPr>
            <w:r>
              <w:rPr>
                <w:rFonts w:ascii="Times New Roman" w:eastAsia="Times New Roman" w:hAnsi="Times New Roman" w:cs="Times New Roman"/>
                <w:b/>
                <w:sz w:val="26"/>
                <w:szCs w:val="26"/>
              </w:rPr>
              <w:t>BỘ KHOA HỌC VÀ CÔNG NGHỆ</w:t>
            </w:r>
          </w:p>
          <w:p w:rsidR="00D2154F" w:rsidRDefault="00BE72F1">
            <w:pPr>
              <w:spacing w:after="0" w:line="240" w:lineRule="auto"/>
              <w:jc w:val="center"/>
              <w:rPr>
                <w:rFonts w:ascii="Times New Roman" w:eastAsia="Times New Roman" w:hAnsi="Times New Roman" w:cs="Times New Roman"/>
                <w:sz w:val="24"/>
                <w:szCs w:val="24"/>
              </w:rPr>
            </w:pPr>
            <w:r>
              <w:rPr>
                <w:noProof/>
                <w:lang w:val="en-US"/>
              </w:rPr>
              <mc:AlternateContent>
                <mc:Choice Requires="wpg">
                  <w:drawing>
                    <wp:anchor distT="4294967295" distB="4294967295" distL="114300" distR="114300" simplePos="0" relativeHeight="251658240" behindDoc="0" locked="0" layoutInCell="1" hidden="0" allowOverlap="1" wp14:anchorId="5FF2DEA6" wp14:editId="03547042">
                      <wp:simplePos x="0" y="0"/>
                      <wp:positionH relativeFrom="column">
                        <wp:posOffset>598805</wp:posOffset>
                      </wp:positionH>
                      <wp:positionV relativeFrom="paragraph">
                        <wp:posOffset>50800</wp:posOffset>
                      </wp:positionV>
                      <wp:extent cx="10414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825300" y="3780000"/>
                                <a:ext cx="10414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xmlns:w15="http://schemas.microsoft.com/office/word/2012/wordml">
                  <w:drawing>
                    <wp:anchor allowOverlap="1" behindDoc="0" distB="4294967295" distT="4294967295" distL="114300" distR="114300" hidden="0" layoutInCell="1" locked="0" relativeHeight="0" simplePos="0">
                      <wp:simplePos x="0" y="0"/>
                      <wp:positionH relativeFrom="column">
                        <wp:posOffset>598805</wp:posOffset>
                      </wp:positionH>
                      <wp:positionV relativeFrom="paragraph">
                        <wp:posOffset>50800</wp:posOffset>
                      </wp:positionV>
                      <wp:extent cx="1041400"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1041400" cy="12700"/>
                              </a:xfrm>
                              <a:prstGeom prst="rect"/>
                              <a:ln/>
                            </pic:spPr>
                          </pic:pic>
                        </a:graphicData>
                      </a:graphic>
                    </wp:anchor>
                  </w:drawing>
                </mc:Fallback>
              </mc:AlternateContent>
            </w:r>
          </w:p>
        </w:tc>
        <w:tc>
          <w:tcPr>
            <w:tcW w:w="5528" w:type="dxa"/>
          </w:tcPr>
          <w:p w:rsidR="00D2154F" w:rsidRDefault="00BE72F1" w:rsidP="00920909">
            <w:pPr>
              <w:spacing w:after="0" w:line="240" w:lineRule="auto"/>
              <w:ind w:left="-18" w:right="-108" w:hanging="9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CỘNG HOÀ XÃ HỘI CHỦ NGHĨA VIỆT NAM</w:t>
            </w:r>
          </w:p>
          <w:p w:rsidR="00D2154F" w:rsidRDefault="00BE72F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Độc lập - Tự do - Hạnh phúc</w:t>
            </w:r>
          </w:p>
          <w:p w:rsidR="00D2154F" w:rsidRDefault="00BE72F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      </w:t>
            </w:r>
            <w:r>
              <w:rPr>
                <w:noProof/>
                <w:lang w:val="en-US"/>
              </w:rPr>
              <mc:AlternateContent>
                <mc:Choice Requires="wpg">
                  <w:drawing>
                    <wp:anchor distT="4294967295" distB="4294967295" distL="114300" distR="114300" simplePos="0" relativeHeight="251659264" behindDoc="0" locked="0" layoutInCell="1" hidden="0" allowOverlap="1" wp14:anchorId="5963414F" wp14:editId="4FCD496B">
                      <wp:simplePos x="0" y="0"/>
                      <wp:positionH relativeFrom="column">
                        <wp:posOffset>659130</wp:posOffset>
                      </wp:positionH>
                      <wp:positionV relativeFrom="paragraph">
                        <wp:posOffset>38735</wp:posOffset>
                      </wp:positionV>
                      <wp:extent cx="215963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66183" y="3780000"/>
                                <a:ext cx="21596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xmlns:w15="http://schemas.microsoft.com/office/word/2012/wordml">
                  <w:drawing>
                    <wp:anchor allowOverlap="1" behindDoc="0" distB="4294967295" distT="4294967295" distL="114300" distR="114300" hidden="0" layoutInCell="1" locked="0" relativeHeight="0" simplePos="0">
                      <wp:simplePos x="0" y="0"/>
                      <wp:positionH relativeFrom="column">
                        <wp:posOffset>659130</wp:posOffset>
                      </wp:positionH>
                      <wp:positionV relativeFrom="paragraph">
                        <wp:posOffset>38735</wp:posOffset>
                      </wp:positionV>
                      <wp:extent cx="2159635" cy="12700"/>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2159635" cy="12700"/>
                              </a:xfrm>
                              <a:prstGeom prst="rect"/>
                              <a:ln/>
                            </pic:spPr>
                          </pic:pic>
                        </a:graphicData>
                      </a:graphic>
                    </wp:anchor>
                  </w:drawing>
                </mc:Fallback>
              </mc:AlternateContent>
            </w:r>
          </w:p>
        </w:tc>
      </w:tr>
      <w:tr w:rsidR="00D2154F" w:rsidTr="00C75D3E">
        <w:trPr>
          <w:trHeight w:val="497"/>
        </w:trPr>
        <w:tc>
          <w:tcPr>
            <w:tcW w:w="4395" w:type="dxa"/>
          </w:tcPr>
          <w:p w:rsidR="00D2154F" w:rsidRDefault="00BE72F1">
            <w:pPr>
              <w:spacing w:after="0" w:line="240" w:lineRule="auto"/>
              <w:ind w:left="-108" w:right="-15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Số:             /BC-BKHCN</w:t>
            </w:r>
          </w:p>
        </w:tc>
        <w:tc>
          <w:tcPr>
            <w:tcW w:w="5528" w:type="dxa"/>
          </w:tcPr>
          <w:p w:rsidR="00D2154F" w:rsidRDefault="00BE72F1">
            <w:pPr>
              <w:spacing w:after="0" w:line="240" w:lineRule="auto"/>
              <w:ind w:left="-18" w:right="-108" w:hanging="90"/>
              <w:rPr>
                <w:rFonts w:ascii="Times New Roman" w:eastAsia="Times New Roman" w:hAnsi="Times New Roman" w:cs="Times New Roman"/>
                <w:i/>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i/>
                <w:sz w:val="26"/>
                <w:szCs w:val="26"/>
              </w:rPr>
              <w:t>Hà Nội, ngày      tháng     năm 2025</w:t>
            </w:r>
          </w:p>
        </w:tc>
      </w:tr>
    </w:tbl>
    <w:p w:rsidR="00D2154F" w:rsidRDefault="00C75D3E">
      <w:pPr>
        <w:spacing w:after="60" w:line="240" w:lineRule="auto"/>
        <w:jc w:val="center"/>
        <w:rPr>
          <w:rFonts w:ascii="Times New Roman" w:eastAsia="Times New Roman" w:hAnsi="Times New Roman" w:cs="Times New Roman"/>
          <w:b/>
          <w:sz w:val="28"/>
          <w:szCs w:val="28"/>
        </w:rPr>
      </w:pPr>
      <w:r w:rsidRPr="00C75D3E">
        <w:rPr>
          <w:rFonts w:ascii="Arial" w:eastAsia="Arial" w:hAnsi="Arial" w:cs="Arial"/>
          <w:noProof/>
          <w:color w:val="000000"/>
        </w:rPr>
        <mc:AlternateContent>
          <mc:Choice Requires="wps">
            <w:drawing>
              <wp:anchor distT="0" distB="0" distL="114300" distR="114300" simplePos="0" relativeHeight="251661312" behindDoc="0" locked="0" layoutInCell="1" allowOverlap="1" wp14:anchorId="268FBD9D" wp14:editId="7369FEDB">
                <wp:simplePos x="0" y="0"/>
                <wp:positionH relativeFrom="column">
                  <wp:posOffset>-241935</wp:posOffset>
                </wp:positionH>
                <wp:positionV relativeFrom="paragraph">
                  <wp:posOffset>33655</wp:posOffset>
                </wp:positionV>
                <wp:extent cx="1066800" cy="1403985"/>
                <wp:effectExtent l="0" t="0" r="1905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403985"/>
                        </a:xfrm>
                        <a:prstGeom prst="rect">
                          <a:avLst/>
                        </a:prstGeom>
                        <a:solidFill>
                          <a:srgbClr val="FFFFFF"/>
                        </a:solidFill>
                        <a:ln w="9525">
                          <a:solidFill>
                            <a:srgbClr val="000000"/>
                          </a:solidFill>
                          <a:miter lim="800000"/>
                          <a:headEnd/>
                          <a:tailEnd/>
                        </a:ln>
                      </wps:spPr>
                      <wps:txbx>
                        <w:txbxContent>
                          <w:p w:rsidR="00C75D3E" w:rsidRPr="00C75D3E" w:rsidRDefault="00C75D3E" w:rsidP="00C75D3E">
                            <w:pPr>
                              <w:rPr>
                                <w:rFonts w:ascii="Times New Roman" w:hAnsi="Times New Roman" w:cs="Times New Roman"/>
                                <w:b/>
                                <w:sz w:val="26"/>
                              </w:rPr>
                            </w:pPr>
                            <w:r w:rsidRPr="00C75D3E">
                              <w:rPr>
                                <w:rFonts w:ascii="Times New Roman" w:hAnsi="Times New Roman" w:cs="Times New Roman"/>
                                <w:b/>
                                <w:sz w:val="26"/>
                              </w:rPr>
                              <w:t>Dự thảo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05pt;margin-top:2.65pt;width:84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">
                <v:textbox style="mso-fit-shape-to-text:t">
                  <w:txbxContent>
                    <w:p w:rsidR="00C75D3E" w:rsidRPr="00C75D3E" w:rsidRDefault="00C75D3E" w:rsidP="00C75D3E">
                      <w:pPr>
                        <w:rPr>
                          <w:rFonts w:ascii="Times New Roman" w:hAnsi="Times New Roman" w:cs="Times New Roman"/>
                          <w:b/>
                          <w:sz w:val="26"/>
                        </w:rPr>
                      </w:pPr>
                      <w:r w:rsidRPr="00C75D3E">
                        <w:rPr>
                          <w:rFonts w:ascii="Times New Roman" w:hAnsi="Times New Roman" w:cs="Times New Roman"/>
                          <w:b/>
                          <w:sz w:val="26"/>
                        </w:rPr>
                        <w:t>Dự thảo 2</w:t>
                      </w:r>
                    </w:p>
                  </w:txbxContent>
                </v:textbox>
              </v:shape>
            </w:pict>
          </mc:Fallback>
        </mc:AlternateContent>
      </w:r>
      <w:r w:rsidR="00BE72F1">
        <w:rPr>
          <w:rFonts w:ascii="Times New Roman" w:eastAsia="Times New Roman" w:hAnsi="Times New Roman" w:cs="Times New Roman"/>
          <w:b/>
          <w:sz w:val="28"/>
          <w:szCs w:val="28"/>
        </w:rPr>
        <w:t>BÁO CÁO</w:t>
      </w:r>
    </w:p>
    <w:p w:rsidR="00D2154F" w:rsidRDefault="00C75D3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BE72F1">
        <w:rPr>
          <w:rFonts w:ascii="Times New Roman" w:eastAsia="Times New Roman" w:hAnsi="Times New Roman" w:cs="Times New Roman"/>
          <w:b/>
          <w:sz w:val="28"/>
          <w:szCs w:val="28"/>
        </w:rPr>
        <w:t>Tổng kết việc thi hành Luật Sở hữu trí tuệ</w:t>
      </w:r>
    </w:p>
    <w:p w:rsidR="00D2154F" w:rsidRDefault="00D2154F">
      <w:pPr>
        <w:spacing w:before="60" w:after="60" w:line="300" w:lineRule="auto"/>
        <w:ind w:firstLine="426"/>
        <w:jc w:val="both"/>
        <w:rPr>
          <w:rFonts w:ascii="Times New Roman" w:eastAsia="Times New Roman" w:hAnsi="Times New Roman" w:cs="Times New Roman"/>
          <w:sz w:val="28"/>
          <w:szCs w:val="28"/>
        </w:rPr>
      </w:pPr>
    </w:p>
    <w:p w:rsidR="00D2154F" w:rsidRPr="00920909" w:rsidRDefault="00BE72F1" w:rsidP="00920909">
      <w:pPr>
        <w:spacing w:before="60" w:after="60" w:line="300" w:lineRule="auto"/>
        <w:jc w:val="center"/>
        <w:rPr>
          <w:rFonts w:ascii="Times New Roman" w:eastAsia="Times New Roman" w:hAnsi="Times New Roman" w:cs="Times New Roman"/>
          <w:b/>
          <w:sz w:val="28"/>
          <w:szCs w:val="28"/>
        </w:rPr>
      </w:pPr>
      <w:r w:rsidRPr="00920909">
        <w:rPr>
          <w:rFonts w:ascii="Times New Roman" w:eastAsia="Times New Roman" w:hAnsi="Times New Roman" w:cs="Times New Roman"/>
          <w:b/>
          <w:sz w:val="28"/>
          <w:szCs w:val="28"/>
        </w:rPr>
        <w:t>Kính gửi: Chính phủ</w:t>
      </w:r>
      <w:bookmarkStart w:id="0" w:name="_GoBack"/>
      <w:bookmarkEnd w:id="0"/>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Thực hiện quy định của Luật Ban hành văn bản quy phạm pháp luật, Bộ Khoa học và Công nghệ (KH&amp;CN) đã tiến hành tổng kết việc thi hành Luật Sở hữu trí tuệ (SHTT). Kết quả như sau:</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b/>
          <w:sz w:val="26"/>
          <w:szCs w:val="26"/>
        </w:rPr>
        <w:t>I. BỐI CẢNH THỰC HIỆN TỔNG KẾT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b/>
          <w:sz w:val="26"/>
          <w:szCs w:val="26"/>
        </w:rPr>
        <w:t>1. Bối cảnh trong nước và quốc tế liên quan đến các chính sách và việc thi hành Luật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b/>
          <w:sz w:val="26"/>
          <w:szCs w:val="26"/>
        </w:rPr>
        <w:t>1.1. Bối cảnh trong nước</w:t>
      </w:r>
      <w:r w:rsidRPr="00920909">
        <w:rPr>
          <w:rFonts w:ascii="Times New Roman" w:eastAsia="Times New Roman" w:hAnsi="Times New Roman" w:cs="Times New Roman"/>
          <w:sz w:val="26"/>
          <w:szCs w:val="26"/>
        </w:rPr>
        <w:t xml:space="preserve">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Luật SHTT được Quốc hội nước Cộng hòa xã hội chủ nghĩa Việt Nam thông qua năm 2005 (Luật số 50/2005/QH11) có hiệu lực thi hành từ ngày 01/7/2006, được sửa đổi, bổ sung năm 2009 (Luật số 36/2009/QH12), năm 2019 (Luật số 42/2019/QH14) và năm 2022 (Luật số 07/2022/QH15) (sau đây gọi là “Luật SHTT”) là văn bản pháp luật quan trọng, điều chỉnh các quan hệ xã hội liên quan đến loại tài sản đặc biệt – quyền SHTT. Qua thực tiễn 20 năm thi hành, Luật SHTT đã phát huy vai trò to lớn trong việc tạo hành lang pháp lý cho các tổ chức, cá nhân xác lập, khai thác và bảo vệ quyền SHTT, tạo môi trường kinh doanh lành mạnh cho hoạt động sản xuất - kinh doanh, góp phần khuyến khích hoạt động sáng tạo, đẩy mạnh chuyển giao công nghệ, thu hút đầu tư nước ngoài, thúc đẩy sự phát triển kinh tế - xã hội của đất nước. Bên cạnh đó, Luật SHTT còn là nền tảng đưa hệ thống bảo hộ SHTT của Việt Nam đạt chuẩn mực theo Hiệp định về các khía cạnh liên quan tới thương mại của quyền SHTT (TRIPS) của Tổ chức Thương mại Thế giới (WTO).</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Việc tổng kết thi hành Luật SHTT được thực hiện trong bối cảnh Việt Nam đang có những thay đổi và định hướng phát triển mạnh mẽ về khoa học, công nghệ, đổi mới sáng tạo và chuyển đổi số. Các Nghị quyết quan trọng của Bộ Chính trị và Chính phủ đã đề ra những mục tiêu và yêu cầu cụ thể, tạo động lực cho việc rà soát và hoàn thiện pháp luật về SHTT:</w:t>
      </w:r>
    </w:p>
    <w:p w:rsidR="00D2154F" w:rsidRPr="00920909" w:rsidRDefault="00BE72F1" w:rsidP="00920909">
      <w:pPr>
        <w:spacing w:before="120" w:after="60" w:line="264" w:lineRule="auto"/>
        <w:ind w:firstLine="720"/>
        <w:jc w:val="both"/>
        <w:rPr>
          <w:rFonts w:ascii="Times New Roman" w:eastAsia="Times New Roman" w:hAnsi="Times New Roman" w:cs="Times New Roman"/>
          <w:sz w:val="26"/>
          <w:szCs w:val="26"/>
        </w:rPr>
      </w:pPr>
      <w:bookmarkStart w:id="1" w:name="_pv5gjorer60m" w:colFirst="0" w:colLast="0"/>
      <w:bookmarkEnd w:id="1"/>
      <w:r w:rsidRPr="00920909">
        <w:rPr>
          <w:rFonts w:ascii="Times New Roman" w:eastAsia="Times New Roman" w:hAnsi="Times New Roman" w:cs="Times New Roman"/>
          <w:sz w:val="26"/>
          <w:szCs w:val="26"/>
        </w:rPr>
        <w:t xml:space="preserve">- </w:t>
      </w:r>
      <w:r w:rsidRPr="00920909">
        <w:rPr>
          <w:rFonts w:ascii="Times New Roman" w:eastAsia="Times New Roman" w:hAnsi="Times New Roman" w:cs="Times New Roman"/>
          <w:i/>
          <w:sz w:val="26"/>
          <w:szCs w:val="26"/>
        </w:rPr>
        <w:t>Nghị quyết số 57-NQ/TW</w:t>
      </w:r>
      <w:r w:rsidRPr="00920909">
        <w:rPr>
          <w:rFonts w:ascii="Times New Roman" w:eastAsia="Times New Roman" w:hAnsi="Times New Roman" w:cs="Times New Roman"/>
          <w:sz w:val="26"/>
          <w:szCs w:val="26"/>
        </w:rPr>
        <w:t xml:space="preserve"> ngày 22/12/2024 của Bộ Chính trị về đột phá phát triển khoa học, công nghệ, đổi mới sáng tạo và chuyển đổi số quốc gia (Nghị quyết số 57-NQ/TW), trong đó đặt ra mục tiêu cụ thể đến năm 2030 tăng 16-18% đơn đăng ký, văn bằng bảo hộ sáng chế/năm, tỷ lệ khai thác thương mại sáng chế đạt 8-10%, đồng thời yêu </w:t>
      </w:r>
      <w:r w:rsidRPr="00920909">
        <w:rPr>
          <w:rFonts w:ascii="Times New Roman" w:eastAsia="Times New Roman" w:hAnsi="Times New Roman" w:cs="Times New Roman"/>
          <w:sz w:val="26"/>
          <w:szCs w:val="26"/>
        </w:rPr>
        <w:lastRenderedPageBreak/>
        <w:t>cầu phải khẩn trương sửa đổi, bổ sung, hoàn thiện đồng bộ các quy định pháp luật về SHTT để tháo gỡ các điểm nghẽn, rào cản, giải phóng các nguồn lực, khuyến khích, phát triển khoa học, công nghệ, đổi mới sáng tạo, chuyển đổi số quốc gia, phát triển nguồn nhân lực;</w:t>
      </w:r>
    </w:p>
    <w:p w:rsidR="00D2154F" w:rsidRPr="00920909" w:rsidRDefault="00BE72F1" w:rsidP="00920909">
      <w:pPr>
        <w:spacing w:before="120" w:after="60" w:line="264" w:lineRule="auto"/>
        <w:ind w:firstLine="720"/>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w:t>
      </w:r>
      <w:r w:rsidRPr="00920909">
        <w:rPr>
          <w:rFonts w:ascii="Times New Roman" w:eastAsia="Times New Roman" w:hAnsi="Times New Roman" w:cs="Times New Roman"/>
          <w:i/>
          <w:sz w:val="26"/>
          <w:szCs w:val="26"/>
        </w:rPr>
        <w:t>Nghị quyết số 59-NQ/TW</w:t>
      </w:r>
      <w:r w:rsidRPr="00920909">
        <w:rPr>
          <w:rFonts w:ascii="Times New Roman" w:eastAsia="Times New Roman" w:hAnsi="Times New Roman" w:cs="Times New Roman"/>
          <w:sz w:val="26"/>
          <w:szCs w:val="26"/>
        </w:rPr>
        <w:t xml:space="preserve"> ngày 24/01/2025 của Bộ Chính trị về hội nhập quốc tế trong tình hình mới (Nghị quyết số 59-NQ/TW), trong đó đề ra phương hướng, nhiệm vụ đẩy mạnh hội nhập quốc tế về khoa học công nghệ và đổi mới sáng tạo, góp phần nâng cao năng lực cạnh tranh quốc gia, mở rộng không gian phát triển bền vững và hiện đại hóa đất nước;</w:t>
      </w:r>
    </w:p>
    <w:p w:rsidR="00D2154F" w:rsidRPr="00920909" w:rsidRDefault="00BE72F1" w:rsidP="00920909">
      <w:pPr>
        <w:spacing w:before="120" w:after="60" w:line="264" w:lineRule="auto"/>
        <w:ind w:firstLine="720"/>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w:t>
      </w:r>
      <w:r w:rsidRPr="00920909">
        <w:rPr>
          <w:rFonts w:ascii="Times New Roman" w:eastAsia="Times New Roman" w:hAnsi="Times New Roman" w:cs="Times New Roman"/>
          <w:i/>
          <w:sz w:val="26"/>
          <w:szCs w:val="26"/>
        </w:rPr>
        <w:t>Nghị quyết số 66-NQ/TW</w:t>
      </w:r>
      <w:r w:rsidRPr="00920909">
        <w:rPr>
          <w:rFonts w:ascii="Times New Roman" w:eastAsia="Times New Roman" w:hAnsi="Times New Roman" w:cs="Times New Roman"/>
          <w:sz w:val="26"/>
          <w:szCs w:val="26"/>
        </w:rPr>
        <w:t xml:space="preserve"> ngày 30/4/2025 của Bộ Chính trị về đổi mới công tác xây dựng và thi hành pháp luật đáp ứng yêu cầu phát triển đất nước trong kỷ nguyên mới (Nghị quyết số 66-NQ/TW), trong đó có nội dung thúc đẩy sáng tạo và bảo vệ quyền sở hữu tài sản, quyền tự do kinh doanh, quyền nghiên cứu khoa học, đổi mới sáng tạo và chuyển đổi số, đồng thời nhấn mạnh việc hoàn thiện hệ thống pháp luật để tạo điều kiện thuận lợi cho doanh nghiệp, tổ chức và cá nhân trong hoạt động kinh doanh và nghiên cứu khoa học; yêu cầu các luật (không phải bộ luật, luật quy định về quyền con người, quyền công dân, tố tụng tư pháp)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w:t>
      </w:r>
      <w:r w:rsidRPr="00920909">
        <w:rPr>
          <w:rFonts w:ascii="Times New Roman" w:eastAsia="Times New Roman" w:hAnsi="Times New Roman" w:cs="Times New Roman"/>
          <w:i/>
          <w:sz w:val="26"/>
          <w:szCs w:val="26"/>
        </w:rPr>
        <w:t>Nghị quyết số 68-NQ/TW</w:t>
      </w:r>
      <w:r w:rsidRPr="00920909">
        <w:rPr>
          <w:rFonts w:ascii="Times New Roman" w:eastAsia="Times New Roman" w:hAnsi="Times New Roman" w:cs="Times New Roman"/>
          <w:sz w:val="26"/>
          <w:szCs w:val="26"/>
        </w:rPr>
        <w:t xml:space="preserve"> ngày 04/5/2025 của Bộ Chính trị về phát triển kinh tế tư nhân (Nghị quyết số 68-NQ/TW), trong đó yêu cầu rà soát, hoàn thiện và thực thi hiệu quả quy định pháp luật về bảo vệ quyền sở hữu tài sản, trong đó có quyền SHTT và tài sản vô hình; giảm thiểu rủi ro pháp lý; có chính sách hỗ trợ định giá, bảo hộ quyền SHTT trong nước; có chế tài nghiêm khắc đối với hành vi vi phạm về SHTT, nhất là vi phạm trên không gian thương mại điện tử; bảo đảm thực hiện trực tuyến toàn trình thủ tục xác lập quyền sở hữu công nghiệp, cắt giảm tối đa thời gian thực hiện thủ tục yêu cầu cấp quyền SHTT, bảo đảm phù hợp với thông lệ quốc tế; yêu cầu về việc đẩy mạnh và đa dạng hóa nguồn vốn cho doanh nghiệp tư nhân (rà soát khuôn khổ pháp lý, hoàn thiện mô hình các quỹ bảo lãnh tín dụng cho doanh nghiệp nhỏ và vừa ở cả trung ương và địa phương; sửa đổi khung pháp lý về hoạt động của công ty cho thuê tài chính theo hướng mở rộng danh mục tài sản cho thuê, trong đó có tài sản phi truyền thống như phần mềm, quyền khai thác, tài sản trí tuệ, dữ liệu);</w:t>
      </w:r>
    </w:p>
    <w:p w:rsidR="00D2154F" w:rsidRPr="00920909" w:rsidRDefault="00BE72F1" w:rsidP="00920909">
      <w:pPr>
        <w:numPr>
          <w:ilvl w:val="0"/>
          <w:numId w:val="1"/>
        </w:numPr>
        <w:spacing w:before="120" w:after="60" w:line="264" w:lineRule="auto"/>
        <w:ind w:left="0" w:firstLine="567"/>
        <w:jc w:val="both"/>
        <w:rPr>
          <w:rFonts w:ascii="Times New Roman" w:hAnsi="Times New Roman" w:cs="Times New Roman"/>
          <w:sz w:val="26"/>
          <w:szCs w:val="26"/>
        </w:rPr>
      </w:pPr>
      <w:r w:rsidRPr="00920909">
        <w:rPr>
          <w:rFonts w:ascii="Times New Roman" w:eastAsia="Times New Roman" w:hAnsi="Times New Roman" w:cs="Times New Roman"/>
          <w:i/>
          <w:sz w:val="26"/>
          <w:szCs w:val="26"/>
        </w:rPr>
        <w:t>Thông báo số 03-TB/BCĐTW ngày 06/6/2025 của Ban Chỉ đạo Trung ương về phát triển khoa học, công nghệ, đổi mới sáng tạo và chuyển đổi số:</w:t>
      </w:r>
      <w:r w:rsidRPr="00920909">
        <w:rPr>
          <w:rFonts w:ascii="Times New Roman" w:eastAsia="Times New Roman" w:hAnsi="Times New Roman" w:cs="Times New Roman"/>
          <w:sz w:val="26"/>
          <w:szCs w:val="26"/>
        </w:rPr>
        <w:t xml:space="preserve"> Thông báo kết luận của đồng chí Tổng Bí thư Tô Lâm tại Phiên họp lần thứ hai của Ban Chỉ đạo, theo đó, Đảng ủy Quốc hội và Đảng ủy Chính phủ theo chức năng, nhiệm vụ chỉ đạo sớm nghiên cứu, đề xuất sửa đổi, bổ sung một số quy định trong một số luật, bao gồm Luật SHTT, nhằm đáp ứng yêu cầu của Nghị quyết số 57-NQ/TW, hoàn thành trong năm 2025.</w:t>
      </w:r>
    </w:p>
    <w:p w:rsidR="00D2154F" w:rsidRPr="00920909" w:rsidRDefault="00BE72F1" w:rsidP="00920909">
      <w:pPr>
        <w:numPr>
          <w:ilvl w:val="0"/>
          <w:numId w:val="1"/>
        </w:numPr>
        <w:spacing w:before="120" w:after="60" w:line="264" w:lineRule="auto"/>
        <w:ind w:left="0" w:firstLine="567"/>
        <w:jc w:val="both"/>
        <w:rPr>
          <w:rFonts w:ascii="Times New Roman" w:hAnsi="Times New Roman" w:cs="Times New Roman"/>
          <w:sz w:val="26"/>
          <w:szCs w:val="26"/>
        </w:rPr>
      </w:pPr>
      <w:r w:rsidRPr="00920909">
        <w:rPr>
          <w:rFonts w:ascii="Times New Roman" w:eastAsia="Times New Roman" w:hAnsi="Times New Roman" w:cs="Times New Roman"/>
          <w:i/>
          <w:sz w:val="26"/>
          <w:szCs w:val="26"/>
        </w:rPr>
        <w:lastRenderedPageBreak/>
        <w:t>Nghị quyết số 03/NQ-CP ngày 09/01/2025 của Chính phủ ban hành Chương trình hành động của Chính phủ thực hiện Nghị quyết số 57-NQ/TW, được sửa đổi, bổ sung cập nhật bởi Nghị quyết số 71/NQ-CP ngày 01/4/2025 của Chính phủ:</w:t>
      </w:r>
      <w:r w:rsidRPr="00920909">
        <w:rPr>
          <w:rFonts w:ascii="Times New Roman" w:eastAsia="Times New Roman" w:hAnsi="Times New Roman" w:cs="Times New Roman"/>
          <w:sz w:val="26"/>
          <w:szCs w:val="26"/>
        </w:rPr>
        <w:t xml:space="preserve"> Đặt ra nhiệm vụ khẩn trương, quyết liệt hoàn thiện thể chế, có chính sách bảo hộ SHTT gắn với cơ chế chia sẻ lợi ích từ kết quả nghiên cứu, ứng dụng, sửa đổi một số quy định trong Luật SHTT để điều chỉnh các quy định liên quan cho phù hợp với đặc thù và thông lệ quốc tế trong sử dụng ngân sách nhà nước thực hiện các nhiệm vụ KH&amp;CN, tạo điều kiện thương mại hóa kết quả nghiên cứu khoa học, phát triển công nghệ.</w:t>
      </w:r>
    </w:p>
    <w:p w:rsidR="00D2154F" w:rsidRPr="00920909" w:rsidRDefault="00BE72F1" w:rsidP="00920909">
      <w:pPr>
        <w:numPr>
          <w:ilvl w:val="0"/>
          <w:numId w:val="1"/>
        </w:numPr>
        <w:spacing w:before="120" w:after="60" w:line="264" w:lineRule="auto"/>
        <w:ind w:left="0" w:firstLine="567"/>
        <w:jc w:val="both"/>
        <w:rPr>
          <w:rFonts w:ascii="Times New Roman" w:hAnsi="Times New Roman" w:cs="Times New Roman"/>
          <w:sz w:val="26"/>
          <w:szCs w:val="26"/>
        </w:rPr>
      </w:pPr>
      <w:r w:rsidRPr="00920909">
        <w:rPr>
          <w:rFonts w:ascii="Times New Roman" w:eastAsia="Times New Roman" w:hAnsi="Times New Roman" w:cs="Times New Roman"/>
          <w:i/>
          <w:sz w:val="26"/>
          <w:szCs w:val="26"/>
        </w:rPr>
        <w:t>Nghị quyết số 138/NQ-CP ngày 16/5/2025 ban hành Kế hoạch hành động của Chính phủ thực hiện Nghị quyết số 68-NQ/TW:</w:t>
      </w:r>
      <w:r w:rsidRPr="00920909">
        <w:rPr>
          <w:rFonts w:ascii="Times New Roman" w:eastAsia="Times New Roman" w:hAnsi="Times New Roman" w:cs="Times New Roman"/>
          <w:sz w:val="26"/>
          <w:szCs w:val="26"/>
        </w:rPr>
        <w:t xml:space="preserve"> Yêu cầu hoàn thiện pháp luật về SHTT bổ sung chế tài xử lý nghiêm, đủ sức răn đe đối với hành vi vi phạm về SHTT, giả mạo SHTT, các vi phạm trên không gian mạng; nâng cấp hệ thống công nghệ thông tin để bảo đảm thực hiện trực tuyến toàn trình thủ tục xác lập quyền sở hữu công nghiệp, cắt giảm tối đa thời gian thực hiện thủ tục yêu cầu cấp quyền SHTT, bảo đảm phù hợp với thông lệ quốc tế; bố trí đầy đủ nguồn lực, hoàn thiện cơ chế tài chính đối với cơ quan quản lý nhà nước về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Những chỉ đạo này cho thấy sự cấp thiết phải rà soát, sửa đổi Luật SHTT nhằm đáp ứng yêu cầu của thực tiễn hiện nay, yêu cầu của cải cách thủ tục hành chính cũng như để bảo đảm thi hành các cam kết về SHTT trong các Hiệp định thương mại tự do (FTA) mà Việt Nam đã và đang đàm phán hoặc ký kết. Việc rà soát, tổng kết thi hành các quy định pháp luật về SHTT và các văn bản hướng dẫn thi hành là hoạt động cần thiết và quan trọng nhằm đánh giá những kết quả đạt được trong quá trình triển khai thi hành Luật SHTT, chỉ ra các bất cập, hạn chế và đưa ra các đề xuất, kiến nghị sửa đổi, bổ sung để hoàn thiện.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b/>
          <w:sz w:val="26"/>
          <w:szCs w:val="26"/>
        </w:rPr>
        <w:t>1.2. Bối cảnh quốc tế</w:t>
      </w:r>
      <w:r w:rsidRPr="00920909">
        <w:rPr>
          <w:rFonts w:ascii="Times New Roman" w:eastAsia="Times New Roman" w:hAnsi="Times New Roman" w:cs="Times New Roman"/>
          <w:sz w:val="26"/>
          <w:szCs w:val="26"/>
        </w:rPr>
        <w:t xml:space="preserve">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Mặc dù, Luật SHTT cũng đã qua 03 lần sửa đổi, trong đó có nội dung sửa đổi để bảo đảm thi hành cam kết quốc tế tại các điều ước quốc tế về SHTT và các Hiệp định thương mại tự do (FTA) thế hệ mới mà Việt Nam mới tham gia nhưng việc rà soát, đánh giá sự phù hợp với các cam kết quốc để sửa đổi, bổ sung Luật SHTT vẫn cần tiếp tục thực hiện trong bối cảnh thế giới có nhiều thay đổi về phương thức kinh doanh, thương mại, trong đó có việc Hoa Kỳ tuyên bố đánh thuế đối ứng với nhiều quốc gia, trong đó có Việt Nam trên cơ sở đánh giá mức thuế của các nước đánh vào hàng hóa nhập khẩu từ Hoa Kỳ cũng như những rào cản phi thuế và các hình thức gian lận khác.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Hiệp định về các khía cạnh liên quan tới thương mại của quyền SHTT (TRIPS) của Tổ chức Thương mại Thế giới (WTO): Hiệp định này đòi hỏi một hệ thống pháp luật SHTT toàn diện và cơ chế bảo vệ quyền hiệu quả. Việt Nam đã nỗ lực nội luật hóa các cam kết này, tuy nhiên, việc bảo vệ quyền hiệu quả trong bối cảnh thay đổi nhanh chóng của công nghệ và thương mại điện tử đặt ra những thách thức mới.</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 xml:space="preserve">Các Hiệp định thương mại tự do (FTA) thế hệ mới: Việt Nam đã tham gia nhiều FTA thế hệ mới với các yêu cầu cao hơn về bảo hộ SHTT so với TRIPS, như Hiệp định Đối tác Toàn diện và Tiến bộ xuyên Thái Bình Dương (CPTPP), FTA giữa Việt Nam và Liên minh châu Âu (EVFTA), Hiệp định Đối tác kinh tế toàn diện khu vực (RCEP) cũng yêu cầu việc bảo vệ quyền SHTT phải được thực hiện hiệu quả.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Ngoài ra, thế giới hiện nay đang chứng kiến sự phát triển bùng nổ của công nghệ, đặc biệt là trí tuệ nhân tạo (AI), dữ liệu lớn (Big Data), blockchain v.v. Những thay đổi đó đang đặt ra các vấn đề pháp lý mới và thách thức đối với hệ thống SHTT hiện hành. Trong đó, AI</w:t>
      </w:r>
      <w:r w:rsidRPr="00920909">
        <w:rPr>
          <w:rFonts w:ascii="Times New Roman" w:eastAsia="Times New Roman" w:hAnsi="Times New Roman" w:cs="Times New Roman"/>
          <w:b/>
          <w:sz w:val="26"/>
          <w:szCs w:val="26"/>
        </w:rPr>
        <w:t xml:space="preserve"> </w:t>
      </w:r>
      <w:r w:rsidRPr="00920909">
        <w:rPr>
          <w:rFonts w:ascii="Times New Roman" w:eastAsia="Times New Roman" w:hAnsi="Times New Roman" w:cs="Times New Roman"/>
          <w:sz w:val="26"/>
          <w:szCs w:val="26"/>
        </w:rPr>
        <w:t>đang thay đổi cách thức sáng tạo, quản lý và thực thi SHTT với các vấn đề pháp lý liên quan như</w:t>
      </w:r>
      <w:r w:rsidRPr="00920909">
        <w:rPr>
          <w:rFonts w:ascii="Times New Roman" w:eastAsia="Times New Roman" w:hAnsi="Times New Roman" w:cs="Times New Roman"/>
          <w:b/>
          <w:sz w:val="26"/>
          <w:szCs w:val="26"/>
        </w:rPr>
        <w:t xml:space="preserve"> </w:t>
      </w:r>
      <w:r w:rsidRPr="00920909">
        <w:rPr>
          <w:rFonts w:ascii="Times New Roman" w:eastAsia="Times New Roman" w:hAnsi="Times New Roman" w:cs="Times New Roman"/>
          <w:sz w:val="26"/>
          <w:szCs w:val="26"/>
        </w:rPr>
        <w:t>bảo hộ quyền tác giả, quyền liên quan trong việc sử dụng dữ liệu được bảo hộ để huấn luyện AI</w:t>
      </w:r>
      <w:r w:rsidRPr="00920909">
        <w:rPr>
          <w:rFonts w:ascii="Times New Roman" w:eastAsia="Times New Roman" w:hAnsi="Times New Roman" w:cs="Times New Roman"/>
          <w:b/>
          <w:sz w:val="26"/>
          <w:szCs w:val="26"/>
        </w:rPr>
        <w:t xml:space="preserve"> (</w:t>
      </w:r>
      <w:r w:rsidRPr="00920909">
        <w:rPr>
          <w:rFonts w:ascii="Times New Roman" w:eastAsia="Times New Roman" w:hAnsi="Times New Roman" w:cs="Times New Roman"/>
          <w:sz w:val="26"/>
          <w:szCs w:val="26"/>
        </w:rPr>
        <w:t xml:space="preserve">hiện nay, tại Hoa Kỳ đang có nhiều vụ kiện lớn liên quan đến việc liệu việc sử dụng dữ liệu để huấn luyện có được coi là “sử dụng hợp lý” (fair use) hay không).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b/>
          <w:sz w:val="26"/>
          <w:szCs w:val="26"/>
        </w:rPr>
        <w:t>2. Quá trình thực hiện tổng kết</w:t>
      </w:r>
      <w:r w:rsidRPr="00920909">
        <w:rPr>
          <w:rFonts w:ascii="Times New Roman" w:eastAsia="Times New Roman" w:hAnsi="Times New Roman" w:cs="Times New Roman"/>
          <w:sz w:val="26"/>
          <w:szCs w:val="26"/>
        </w:rPr>
        <w:t xml:space="preserve">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Bộ KH&amp;CN đã phối hợp với Bộ Văn hóa, Thể thao và Du lịch và Bộ Nông nghiệp và Môi trường cùng các đơn vị liên quan tiến hành rà soát các quy định pháp luật về SHTT và các bất cập, hạn chế của Luật SHTT trong lĩnh vực hoạt động của mình. Quá trình này nhằm đánh giá những kết quả đạt được trong quá trình triển khai thi hành Luật SHTT, chỉ ra các bất cập, hạn chế và đưa ra các đề xuất, kiến nghị sửa đổi, bổ sung để hoàn thiện.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Việc tổng kết này được tiến hành thông qua việc thu thập ý kiến từ các Bộ, ngành, địa phương, các tổ chức, các tổ chức hội, doanh nghiệp, chuyên gia và cộng đồng</w:t>
      </w:r>
      <w:r w:rsidR="00920909">
        <w:rPr>
          <w:rStyle w:val="FootnoteReference"/>
          <w:rFonts w:ascii="Times New Roman" w:eastAsia="Times New Roman" w:hAnsi="Times New Roman" w:cs="Times New Roman"/>
          <w:sz w:val="26"/>
          <w:szCs w:val="26"/>
        </w:rPr>
        <w:footnoteReference w:id="1"/>
      </w:r>
      <w:r w:rsidRPr="00920909">
        <w:rPr>
          <w:rFonts w:ascii="Times New Roman" w:eastAsia="Times New Roman" w:hAnsi="Times New Roman" w:cs="Times New Roman"/>
          <w:sz w:val="26"/>
          <w:szCs w:val="26"/>
        </w:rPr>
        <w:t xml:space="preserve"> từ năm 2023 đến nay, đồng thời phân tích, đánh giá so với sự thay đổi của tình hình phát triển kinh tế – xã hội của Việt Nam </w:t>
      </w:r>
      <w:r w:rsidR="00920909">
        <w:rPr>
          <w:rFonts w:ascii="Times New Roman" w:eastAsia="Times New Roman" w:hAnsi="Times New Roman" w:cs="Times New Roman"/>
          <w:sz w:val="26"/>
          <w:szCs w:val="26"/>
        </w:rPr>
        <w:t>cũng như bối cảnh thế giới</w:t>
      </w:r>
      <w:r w:rsidRPr="00920909">
        <w:rPr>
          <w:rFonts w:ascii="Times New Roman" w:eastAsia="Times New Roman" w:hAnsi="Times New Roman" w:cs="Times New Roman"/>
          <w:sz w:val="26"/>
          <w:szCs w:val="26"/>
        </w:rPr>
        <w: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Bộ KH&amp;CN đề xuất hình thức sửa đổi Luật là Luật sửa đổi, bổ sung một số điều do các nội dung dự kiến sửa đổi không làm thay đổi cơ bản chính sách, phạm vi điều chỉnh, đối tượng áp dụng so với Luật SHTT hiện hành mà sẽ bổ sung làm rõ nét hơn những chính sách trước đây, đặc biệt là chính sách khuyến khích, hỗ trợ đổi mới sáng tạo, tạo thuận lợi cho người nộp đơn, nâng cao hiệu quả bảo vệ quyền. Việc lựa chọn hình thức này cũng nhằm đảm bảo tính khả thi trong bối cảnh thời gian gấp gáp, yêu cầu nhanh chóng ban hành luật để cụ thể hóa định hướng trong Nghị quyết số 57-NQ/TW và các Nghị quyết liên quan mới được ban hành gần đây, đồng thời vẫn phải đảm bảo sự phối hợp đầy đủ của ba Bộ chịu trách nhiệm quản lý ba nhóm đối tượng khác nhau của SHTT (Bộ KH&amp;CN, Bộ Văn hóa, Thể thao và Du lịch, Bộ Nông nghiệp và Môi trường).</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Quá trình tổng kết cũng đã rà soát các văn bản pháp luật về SHTT và các văn bản hướng dẫn thi hành để xác định các quy định còn mâu thuẫn, chồng chéo, hoặc không còn </w:t>
      </w:r>
      <w:r w:rsidRPr="00920909">
        <w:rPr>
          <w:rFonts w:ascii="Times New Roman" w:eastAsia="Times New Roman" w:hAnsi="Times New Roman" w:cs="Times New Roman"/>
          <w:sz w:val="26"/>
          <w:szCs w:val="26"/>
        </w:rPr>
        <w:lastRenderedPageBreak/>
        <w:t>phù hợp với thực tiễn. Mục tiêu cuối cùng là xây dựng một dự thảo Luật sửa đổi, bổ sung một số điều của Luật SHTT có chất lượng, đáp ứng yêu cầu phát triển của đất nước trong giai đoạn mới và hài hòa với các cam kết quốc tế.</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II. KẾT QUẢ THỰC HIỆN</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1. Việc tổ chức thi hành Luật SHTT</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1.1. Ban hành văn bản quy định chi tiết và hướng dẫn thi hành Luật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Luật sửa đổi, bổ sung một số điều của Luật SHTT (Luật số 07/2022/QH15) được thông qua tại Kỳ họp thứ ba Quốc hội khóa XV và có hiệu lực thi hành từ ngày 01/01/2023. Theo đó, ngày 01/8/2022, Thủ tướng Chính phủ đã có Quyết định số 917/QĐ-TTg, tại Mục 1 Phụ lục về Luật sửa đổi, bổ sung một số điều của Luật SHTT, giao các Bộ KH&amp;CN, Văn hoá, Thể thao và Du lịch, Nông nghiệp và Phát triển nông thôn phối hợp với các cơ quan có liên quan xây dựng các Nghị định quy định chi tiết và hướng dẫn thi hành Luật SHTT sửa đổi, bổ sung và cho phép áp dụng trình tự, thủ tục rút gọn để thay thế: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Nghị định số 103/2006/NĐ-CP ngày 22/9/2006 của Chính phủ quy định chi tiết và hướng dẫn thi hành một số điều của Luật SHTT về sở hữu công nghiêp (SHCN), được sửa đổi, bổ sung theo Nghị định số 122/2010/NĐ-CP ngày 31/12/2010 và Nghị định số 105/2006/NĐ-CP ngày 22/9/2006 của Chính phủ quy định chi tiết và hướng dẫn thi hành một số điều của Luật SHTT về bảo vệ quyền SHTT và quản lý nhà nước về SHTT, được sửa đổi, bổ sung theo Nghị định số 119/2010/NĐ-CP ngày 30/12/2010 và Nghị định số 154/2018/NĐ-CP ngày 09/11/2018;</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Nghị định số 22/2018/NĐ-CP ngày 23/02/2018 quy định chi tiết một số điều và biện pháp thi hành Luật SHTT năm 2005 và Luật sửa đổi, bổ sung một số điều của Luật SHTT năm 2009 về quyền tác giả, quyền liên quan;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Nghị định số 88/2010/NĐ-CP ngày 16/8/2010 quy định chi tiết, hướng dẫn thi hành một số điều của Luật SHTT về quyền đối với giống cây trồng, được sửa đổi, bổ sung tại Nghị định số 98/2011/NĐ-CP ngày 26/10/2011.</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Trên cơ sở đó, các Nghị định sau đã được Chính phủ ban hành:</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Nghị định số 17/2023/NĐ-CP ngày 26/4/2023 của Chính phủ quy định chi tiết một số điều và biện pháp thi hành Luật SHTT về quyền tác giả, quyền liên quan (Nghị định số 17/2023/NĐ-CP);</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Nghị định số 65/2023/NĐ-CP ngày 23/8/2023 của Chính phủ quy định chi tiết một số điều và biện pháp thi hành Luật SHTT về SHCN, bảo vệ quyền SHCN, quyền đối với giống cây trồng và quản lý nhà nước về SHTT (Nghị định số 65/2023/NĐ-CP);</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 Nghị định số 79/2023/NĐ-CP ngày 15/11/2023 của Chính phủ quy định chi tiết một số điều và biện pháp thi hành Luật SHTT về quyền đối với giống cây trồng (Nghị định số 79/2023/NĐ-CP);</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Ngoài ra, Bộ trưởng Bộ KH&amp;CN, Bộ trưởng Bộ Văn hóa – Thể thao - Du lịch cũng đã triển khai ban hành các văn bản hướng dẫn đối với các quy định được Luật giao bao gồm:</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Thông tư số 23/2023/TT-BKHCN ngày 30/11/2023 của Bộ trưởng Bộ KH&amp;CN quy định chi tiết một số điều của một số điều của Luật SHTT và biện pháp thi hành Nghị định số 65/2023/NĐ-CP ngày 23/8/2023 của Chính phủ quy định chi tiết một số điều và biện pháp thi hành Luật SHTT về SHCN, bảo vệ quyền SHCN, quyền đối với giống cây trồng và quản lý nhà nước về SHTT liên quan đến thủ tục xác lập quyền sở hữu công nghiệp và bảo đảm thông tin sở hữu công nghiệp;</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Thông tư số 08/2023/TT-BVHTTDL ngày 02/6/2023 của Bộ trưởng Bộ Văn hoá, Thể thao và Du lịch quy định các mẫu trong hoạt động đăng ký quyền tác giả, quyền liên quan;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Thông tư số 07/2024/TT-BVHTTDL ngày 01/10/2024 của Bộ trưởng Bộ Văn hóa, Thể thao và Du lịch quy định định mức kinh tế - kỹ thuật dịch vụ giám định, thông tin, truyền thông về quyền tác giả, quyền liên quan phục vụ công tác quản lý nhà nước.</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1.2. Ban hành các kế hoạch triển khai thi hành Luật và văn bản quy định chi tiết, hướng dẫn thi hành Luật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Sau khi Luật sửa đổi, bổ sung một số điều của Luật SHTT năm 2022 được Quốc hội thông qua, Thủ tướng Chính phủ đã kịp thời ban hành các văn bản chỉ đạo, đôn đốc các bộ, ngành trong công tác triển khai thi hành luật. Thực hiện nhiệm vụ được Thủ tướng Chính phủ giao, Bộ trưởng Bộ KH&amp;CN đã ban hành Quyết định số 2671/QĐ-BKHCN ngày 29/12/2022 kế hoạch, các quyết định để triển khai thi hành Luật sửa đổi, bổ sung một số điều của Luật SHTT của Bộ KH&amp;CN.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Bên cạnh đó, Bộ trưởng Bộ KH&amp;CN cũng đã ban hành Quyết định số 2060/QĐ-BKHCN ngày 13/9/2023 và Quyết định số 3038/QĐ-BKHCN ngày 18/12/2023 về việc công bố thủ tục hành chính mới ban hành, thủ tục hành chính bị bãi bỏ trong lĩnh vực SHTT thuộc phạm vi chức năng quản lý của Bộ KH&amp;CN theo Nghị định số 65/2023/NĐ-CP và Thông tư số 23/2023/TT-BKHCN theo quy định pháp luật về thủ tục hành chính, tạo thuận lợi cho công tác thi hành.</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Trong lĩnh vực quyền tác giả, quyền liên quan, Bộ Văn hóa, Thể thao và Du lịch đã trình Thủ tướng Chính phủ ban hành Chỉ thị số 30/CT-TTg ngày 29/8/2024 của Thủ tướng Chính phủ về phát triển các ngành công nghiệp văn hóa, trong đó có nội dung Thủ tướng Chính phủ yêu cầu Bộ Văn hóa, Thể thao và Du lịch: “Chủ trì, phối hợp thường xuyên với các bộ, ngành, cơ quan liên quan xây dựng cơ chế hợp tác, liên kết giữa các tổ chức đại diện quyền tác giả, quyền liên quan, tác giả, chủ sở hữu, người biểu diễn, nhà </w:t>
      </w:r>
      <w:r w:rsidRPr="00920909">
        <w:rPr>
          <w:rFonts w:ascii="Times New Roman" w:eastAsia="Times New Roman" w:hAnsi="Times New Roman" w:cs="Times New Roman"/>
          <w:sz w:val="26"/>
          <w:szCs w:val="26"/>
        </w:rPr>
        <w:lastRenderedPageBreak/>
        <w:t>sản xuất bản ghi âm, ghi hình, tổ chức phát sóng... trên cơ sở minh bạch, bảo đảm hài hòa lợi ích giữa các bên; xây dựng hệ thống phần mềm tìm kiếm, đối chiếu, so sánh giúp phát hiện, chống vi phạm quyền tác giả, quyền liên quan trên không gian mạng và môi trường kỹ thuật số.”.</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Trong lĩnh vực bảo hộ giống cây trồng, Bộ trưởng Bộ Nông nghiệp và Môi trường đã ban hành Quyết định số 1000/QĐ-BNNMT ngày 22 tháng 4 năm 2025 về việc công bố chuẩn hóa thủ tục hành chính lĩnh vực trồng trọt và bảo vệ thực vật thuộc phạm vi chức năng quản lý nhà nước của Bộ Nông nghiệp và Môi trường trong đó có các thủ tục hành chính được quy định tại Nghị định số 65/2023/NĐ-CP và Nghị định số 79/2023/NĐ-CP và Quyết định số 1856/QĐ-BNNMT ngày 02/6/2025 về việc ban hành quy trình nội bộ giải quyết thủ tục hành chính thuộc thẩm quyền tiếp nhận và giải quyết lĩnh vực Trồng trọt và Bảo vệ thực vật của Bộ Nông nghiệp và Môi trường.</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Trên cơ sở Luật SHTT, trong phạm vi nhiệm vụ, quyền hạn của mình, các bộ ngành cũng đã xây dựng, ban hành các văn bản pháp luật có nội dung về SHTT, các kế hoạch, chương trình thực thi Luật. Điển hình là Bộ Quốc phòng, từ năm 2022 đến nay đã ban hành 04 Thông tư liên quan (Thông tư số 14/2022/TT-BQP ngày 01/02/2022, Thông tư số 142/2023/TT-BQP ngày 27/12/2023, Thông tư số 81/2023/TT-BQP ngày 03/11/2023 và Thông tư số 07/2025/TT-BQP ngày 04/02/2025), 02 văn bản hướng dẫn triển khai Nghị định số 17/2023/NĐ-CP và Nghị định số 65/2023/NĐ-CP quy định chi tiết một số điều và biện pháp thi hành Luật SHTT trong Bộ Quốc phòng.</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Tại cấp địa phương, nhiều tỉnh, thành phố đã ban hành các kế hoạch để triển khai thực hiện văn bản pháp luật về SHTT, Chiến lược SHTT đến năm 2030 và các văn bản liên quan đến cơ chế, chính sách hỗ trợ phát triển tài sản trí tuệ.  </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1.3. Phổ biến, tập huấn Luật và văn bản quy định chi tiết, hướng dẫn thi hành</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Sau khi Luật SHTT được ban hành, công tác phổ biến, tuyên truyền Luật SHTT và các văn bản hướng dẫn thi hành được các cơ quan quản lý nhà nước ở Trung ương và địa phương cũng như các Bộ, ngành có liên quan tích cực triển khai dưới nhiều hình thức khác nhau. Các hình thức bao gồm: tổ chức hội thảo, tọa đàm, các lớp tập huấn, biên soạn, dịch và xuất bản sách, tuyên truyền trên các phương tiện thông tin đại chúng, tổ chức các cuộc thi tìm hiểu về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Bên cạnh việc tổ chức các buổi hội thảo, tọa đàm và các lớp tập huấn, đào tạo, các Bộ, ngành từ trung ương đến địa phương còn thực hiện nhiều biện pháp đồng bộ khác nhằm từng bước nâng cao nhận thức chung của xã hội về hoạt động bảo hộ, thực thi quyền SHTT cũng như các kiến thức cơ bản liên quan đến quy trình, thủ tục đăng ký xác lập, bảo vệ quyền SHTT, như cung cấp tin, bài tuyên truyền về SHTT cho các đài phát thanh và truyền hình, báo, tạp chí và các hoạt động tuyên truyền khác. Ví dụ: các đơn vị thông tin của Thông tấn xã Việt Nam đã đăng, phát hơn 9.000 tin, bài tuyên truyền về Luật SHTT, với hình thức thể hiện sinh động (văn bản, ảnh, video truyền hình, đồ họa, </w:t>
      </w:r>
      <w:r w:rsidRPr="00920909">
        <w:rPr>
          <w:rFonts w:ascii="Times New Roman" w:eastAsia="Times New Roman" w:hAnsi="Times New Roman" w:cs="Times New Roman"/>
          <w:sz w:val="26"/>
          <w:szCs w:val="26"/>
        </w:rPr>
        <w:lastRenderedPageBreak/>
        <w:t>podcast) theo các chuyên mục “KH&amp;CN”, “Pháp luật”, “Tư vấn pháp luật”, “Văn bản mới”..., đăng tải trên nhiều nền tảng. Bộ Quốc phòng đã tổ chức quán triệt và triển khai thực hiện nhiều Nghị quyết của Quân ủy trung ương và kế hoạch của Bộ Quốc phòng về đột phá phát triển khoa học, công nghệ, đổi mới sáng tạo và chuyển đổi số trong Quân đội, nhằm đẩy mạnh và nâng cao hiệu quả hoạt động thực thi quyền sở hữu trí tuệ; phát triển văn hóa sở hữu trí tuệ trong Quân đội.</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Một số cơ quan như trường đại học, viện nghiên cứu, học viện, v.v. đã ban hành một số văn bản nhằm hướng dẫn và nâng cao nhận thức về việc bảo hộ quyền SHTT cho các đối tượng có liên quan như ban hành các Quy chế Quản lý hoạt động khoa học, Quy chế quản lý hoạt động SHTT, Quy định về việc sao chép và trích dẫn tài liệu tham khảo trong thực hiện đề án, luận văn, khóa luận, đề tài khoa học.</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2. Kết quả thi hành</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2.1. Công tác đăng ký xác lập quyền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Hoạt động đăng ký xác lập quyền đã được các cơ quan quản lý nhà nước có chức năng liên quan quan tâm triển khai với nhiều cố gắng, nỗ lực. Các quy trình, thủ tục đăng ký xác lập quyền thường xuyên được rà soát và tiến hành sửa đổi, bổ sung và được công bố trên các trang tin điện tử của các Bộ có liên quan nhằm đảm bảo tính công khai, minh bạch, đảm bảo yêu cầu về cải cách thủ tục hành chính, tháo gỡ các khó khăn, vướng mắc trong thực tiễn thi hành pháp luật, tạo điều kiện thuận lợi cho tổ chức, cá nhân trong việc đăng ký xác lập quyền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Số lượng đơn đăng ký xác lập quyền đối với các đối tượng quyền SHTT nộp vào các cơ quan quản lý nhà nước gia tăng hằng năm đã phản ánh một số khía cạnh sau: (i) Nhận thức của xã hội trong việc bảo vệ các thành quả sáng tạo đã từng bước được nâng cao; Môi trường pháp lý cho hoạt động đầu tư kinh doanh của Việt Nam, trong đó có sự đóng góp của Luật SHTT và các văn bản hướng dẫn thi hành Luật, đã được cải thiện và phát huy được vai trò tích cực, hỗ trợ và tạo điều kiện thuận lợi cho hoạt động đầu tư, kinh doanh của cả doanh nghiệp trong và ngoài nước, góp phần vào sự phát triển kinh tế - xã hội của đất nước.</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Cụ thể, đối với lĩnh vực sở hữu công nghiệp, hiệu quả việc thực hiện các biện pháp khuyến khích, hỗ trợ của các cơ quan nhà nước ở cả Trung ương và địa phương thể hiện rõ thông qua số lượng đơn đăng ký sáng chế/giải pháp hữu ích của người Việt Nam nộp tại Bộ KH&amp;CN (Cục SHTT). Ví dụ: năm 2006 có 356 đơn đăng ký sáng chế và giải pháp hữu ích của người Việt Nam được nộp thì đến năm 2024, con số này là 1896 đơn, tức là tăng hơn 5 lần. Theo thống kê của Viện Hàn lâm KH&amp;CN Việt Nam - đơn vị dẫn đầu và chiếm thị phần lớn về bằng sáng chế và giải pháp hữu ích của người Việt Nam, trong giai đoạn 2020-2025, Viện Hàn lâm đã được cấp 292 bằng sở hữu trí tuệ (trong đó có 09 Bằng độc quyền sáng chế quốc tế), tăng 52% so với nhiệm kỳ trước, trung bình hằng năm tăng 9%, vượt so với nghị quyết đề ra (tăng 5%/năm). Theo thống kê của Bộ Quốc phòng, tổng </w:t>
      </w:r>
      <w:r w:rsidRPr="00920909">
        <w:rPr>
          <w:rFonts w:ascii="Times New Roman" w:eastAsia="Times New Roman" w:hAnsi="Times New Roman" w:cs="Times New Roman"/>
          <w:sz w:val="26"/>
          <w:szCs w:val="26"/>
        </w:rPr>
        <w:lastRenderedPageBreak/>
        <w:t xml:space="preserve">số đơn đăng ký sáng chế của các đơn vị trong Bộ từ năm 2019 đến 2024 là 266 đơn và đang có xu hướng ngày càng tăng lên, trong đó riêng Tập đoàn Công nghiệp - Viễn thông Quân đội đã chiếm hơn 70% tổng số đơn và văn bằng bảo hộ được cấp.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Tốc độ tăng trưởng hằng năm của số đơn đăng ký hợp đồng chuyển nhượng quyền sở hữu các đối tượng SHTT tại Bộ KH&amp;CN (Cục SHTT) cũng cho thấy hoạt động chuyển nhượng các tài sản trí tuệ đã ngày càng có dấu hiệu tích cực, cụ thể là trong năm 2006 có 223 đơn đăng ký hợp đồng chuyển nhượng quyền sở hữu đối tượng SHTT được nộp trong năm 2024, con số này là 1.758, tức là tăng gần 8 lần.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Đối với lĩnh vực quyền tác giả và quyền liên quan, theo số liệu thống kê của Cục Bản quyền tác giả, Bộ Văn hóa, Thể thao và Du lịch, công tác thụ lý hồ sơ, cấp Giấy chứng nhận đăng ký quyền tác giả, quyền liên quan từ 01/01/2021 đến 08/5/2025 đã cấp 46.724 Giấy chứng nhận đăng ký quyền tác giả, quyền liên quan đảm bảo đúng theo quy định, trong đó tổng số giấy chứng nhận đăng ký quyền tác giả và quyền liên quan đã cấp trong năm 2021 là 8.995, trong đó bao gồm 8.962 giấy chứng nhận đăng ký quyền tác giả và 33 giấy chứng nhận đăng ký quyền liên quan. Ước đạt năm 2025, tổng số giấy chứng nhận đăng ký quyền tác giả, quyền liên quan sẽ cấp khoảng 10.000 giấy chứng nhận, tức là tăng hơn 1,2 lần so với năm 2021.</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Đối với lĩnh vực quyền đối với giống cây trồng, hiệu quả việc thực hiện các biện pháp khuyến khích, hỗ trợ của các cơ quan nhà nước ở cả Trung ương và địa phương thể hiện rõ thông qua số lượng đơn đăng ký bảo hộ giống cây trồng của người Việt Nam nộp tại Bộ Nông nghiệp và Môi trường (Cục Trồng trọt và Bảo vệ thực vật). Ví dụ: năm 2006 có 09 đơn đăng ký bảo hộ giống cây trồng được nộp thì đến năm 2024, con số này là 209 đơn, tức là tăng hơn 23 lần.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Tuy nhiên, theo báo cáo của các cơ quan, tổ chức, doanh nghiệp thì hoạt động này vẫn còn những vướng mắc, hạn chế cần cải thiện như: cần tiếp tục đơn giản hóa thủ tục hành chính, đẩy mạnh thực hiện dịch vụ công trực tuyến (VIPA), đẩy mạnh chuyển đổi số toàn diện, cải tiến hệ thống cơ sở dữ liệu công khai về SHTT để thuận tiện cho việc tiếp cận, tra cứu của xã hội; rút ngắn thời gian và nâng cao chất lượng thẩm định. Bên cạnh đó, với một số loại hình sáng tạo mới (ví dụ: nội dung số, sáng tạo trên nền tảng mạng xã hội, trí tuệ nhân tạo tạo ra tác phẩm) còn chưa được điều chỉnh rõ trong luật (Viện Hàn lâm KH&amp;CN). Đối với việc xác lập quyền giống cây trồng, chi phí kiểm nghiệm, thời gian đăng ký dài khiến nhiều hộ nông dân, hợp tác xã không đủ khả năng bảo hộ giống do mình tạo ra...</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 xml:space="preserve">2.2. Hoạt động bảo vệ quyền SHTT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Các cơ quan nhà nước có thẩm quyền đã triển khai nhiều hoạt động nhằm thực thi, bảo vệ quyền SHTT bằng các biện pháp: dân sự, hình sự và hành chính. Thực tiễn cho thấy hầu hết các vụ xâm phạm quyền SHTT đều được xử lý bằng biện pháp hành chính và tập trung chủ yếu vào đối tượng: chương trình phần mềm máy tính, hàng giả về nhãn hiệu </w:t>
      </w:r>
      <w:r w:rsidRPr="00920909">
        <w:rPr>
          <w:rFonts w:ascii="Times New Roman" w:eastAsia="Times New Roman" w:hAnsi="Times New Roman" w:cs="Times New Roman"/>
          <w:sz w:val="26"/>
          <w:szCs w:val="26"/>
        </w:rPr>
        <w:lastRenderedPageBreak/>
        <w:t>và hàng xâm phạm kiểu dáng công nghiệp, tên doanh nghiệp, tên miền vi phạm trong môi trường số, bảo hộ giống cây trồng (hành vi sử dụng giống cây trồng được bảo hộ mà không được phép của chủ sở hữu bằng bảo hộ, sản xuất, buôn bán giống giả mạo tên giống đã được bảo hộ hoặc sử dụng tên giống gây nhầm lẫn với giống được bảo hộ). Hình thức xử phạt được áp dụng chủ yếu là phạt cảnh cáo, phạt tiền và tịch thu hàng hóa giả mạo về nhãn hiệu. Với năng lực chuyên môn của cán bộ các cơ quan thực thi quyền SHTT đã từng bước được cải thiện nên các cơ quan thực thi quyền SHTT của một số địa phương đã có sự chủ động hơn trước trong việc đánh giá, xem xét và xử lý các hành vi xâm phạm quyền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Theo số liệu thống kê của ngành tòa án, việc xử lý các vụ tranh chấp, xâm phạm quyền bằng biện pháp dân sự tại tòa án chỉ chiếm tỷ lệ rất thấp so với hàng chục ngàn các vụ xâm phạm quyền bị xử lý bằng biện pháp hành chính. Các tranh chấp này tập trung chủ yếu vào lĩnh vực quyền tác giả (83,5%), trong khi các tranh chấp trong lĩnh vực SHCN chiếm tỷ lệ rất thấp (5,5%). Số lượng các vụ xâm phạm quyền bị xử lý về hình sự cũng không nhiều. Việc bảo vệ quyền SHTT chủ yếu được thực hiện bằng biện pháp hành chính. Chỉ riêng trong năm 2023, các cơ quan bảo vệ quyền đã xử lý 3.049 vụ vi phạm quyền SHTT bằng biện pháp hành chính (chủ yếu liên quan nhãn hiệu), tăng 213% so với năm 2022 (1.430 vụ). Tuy nhiên, trong giai đoạn 2019-2023, cơ quan chức năng chỉ khởi tố, điều tra, xét xử 691 vụ với 1.113 bị can, tổng số tiền phạt trên 48 tỷ đồng; từ tháng 01/2018 đến 6/2023, hệ thống Tòa án Việt Nam đã giải quyết tổng cộng là 316 vụ.</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Các cơ quan thực thi quyền SHTT ở địa phương đã ban hành nhiều kế hoạch phòng, chống hàng giả, xâm phạm quyền SHTT; thường xuyên phối hợp kiểm tra, thanh tra và xử lý vi phạm. Ví dụ, theo thống kê của tỉnh Lai Châu, đến nay, tỉnh đã xử lý 143 vụ vi phạm hành chính đối với 2.817 đơn vị, với tổng số tiền phạt gần 2.879,311 triệu đồng; tỉnh Khánh Hòa trong giai đoạn 2021 - 2025 đã có 230 vụ xâm phạm được xử lý bằng biện pháp hành chính (chủ yếu là đối với nhãn hiệu), phạt cảnh cáo 11 vụ, phạt tiền 219 vụ với tổng số tiền phạt là 2.915,808 triệu đồng, số vụ và số tiền phạt tăng dần theo từng năm, v.v.</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Mặc dù đã có nhiều nỗ lực từ phía các cơ quan bảo vệ quyền SHTT, nhưng thực tế cho thấy tình trạng xâm phạm quyền SHTT ở Việt Nam vẫn đang diễn ra ngày càng phổ biến và phức tạp. Điều này đã ảnh hưởng không nhỏ đến quyền và lợi ích hợp pháp của chủ thể quyền, làm nản lòng các nhà đầu tư, gây tác động tiêu cực đến đời sống kinh tế, xã hội. Có thể khẳng định rằng một trong những điểm yếu và thách thức lớn nhất của hệ thống SHTT của Việt Nam hiện nay là chính là hiệu quả của hoạt động bảo vệ quyền còn chưa đáp ứng được yêu cầu thực tiễn, đặc biệt là việc thực thi quyền SHTT bằng biện pháp tư pháp.</w:t>
      </w:r>
    </w:p>
    <w:p w:rsidR="00D2154F" w:rsidRPr="00920909" w:rsidRDefault="00BE72F1" w:rsidP="00920909">
      <w:pPr>
        <w:spacing w:before="120" w:after="60" w:line="264" w:lineRule="auto"/>
        <w:ind w:firstLine="567"/>
        <w:jc w:val="both"/>
        <w:rPr>
          <w:rFonts w:ascii="Times New Roman" w:eastAsia="Times New Roman" w:hAnsi="Times New Roman" w:cs="Times New Roman"/>
          <w:i/>
          <w:sz w:val="26"/>
          <w:szCs w:val="26"/>
        </w:rPr>
      </w:pPr>
      <w:r w:rsidRPr="00920909">
        <w:rPr>
          <w:rFonts w:ascii="Times New Roman" w:eastAsia="Times New Roman" w:hAnsi="Times New Roman" w:cs="Times New Roman"/>
          <w:i/>
          <w:sz w:val="26"/>
          <w:szCs w:val="26"/>
        </w:rPr>
        <w:t>(i) Việc áp dụng các biện pháp chế tài trong hoạt động bảo vệ quyền SHCN không cân đối và phù hợp, chưa phát huy được tốt nhất hiệu quả của các biện pháp chế tài</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 xml:space="preserve">Nhiều cơ quan, Bộ, ngành, tổ chức và địa phương có chung nhận định là trong ba biện pháp (dân sự, hành chính, hình sự) được áp dụng để bảo vệ quyền SHCN ở nước ta, thì biện pháp hành chính chiếm vai trò chủ đạo; các chế tài dân sự hoặc hình sự rất ít được áp dụng và không phát huy được hiệu quả. Thực trạng “quá thiên về hành chính” trên dẫn tới hậu quả là quyền và lợi ích hợp pháp của chủ thể quyền chưa được bảo vệ thỏa đáng, hiệu quả của công tác bảo vệ quyền còn thấp, bởi biện pháp tư pháp - một biện pháp được coi là bảo vệ quyền SHCN một cách hữu hiệu nhất, hầu như không phát huy được tác dụng. Thực tế này cũng đi ngược lại với xu hướng thực thi quyền SHCN của các nước trên thế giới (biện pháp hành chính hầu như không được áp dụng, việc thực thi quyền chủ yếu dựa vào các chế tài dân sự và hình sự).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Bên cạnh đó, nhiều cơ quan, địa phương cho rằng mức xử phạt hành chính do các cơ quan thực thi áp dụng hiện nay chưa đủ mạnh để đảm bảo tính nghiêm minh, không đủ sức răn đe, ngăn ngừa hành vi xâm phạm, tình trạng tái phạm xảy ra rất phổ biến, gây ảnh hưởng xấu đến môi trường đầu tư kinh doanh, làm nản lòng các nhà đầu tư và chủ thể quyền, tác động tiêu cực đến đời sống kinh tế, xã hội.</w:t>
      </w:r>
    </w:p>
    <w:p w:rsidR="00D2154F" w:rsidRPr="00920909" w:rsidRDefault="00BE72F1" w:rsidP="00920909">
      <w:pPr>
        <w:spacing w:before="120" w:after="60" w:line="264" w:lineRule="auto"/>
        <w:ind w:firstLine="567"/>
        <w:jc w:val="both"/>
        <w:rPr>
          <w:rFonts w:ascii="Times New Roman" w:eastAsia="Times New Roman" w:hAnsi="Times New Roman" w:cs="Times New Roman"/>
          <w:i/>
          <w:sz w:val="26"/>
          <w:szCs w:val="26"/>
        </w:rPr>
      </w:pPr>
      <w:r w:rsidRPr="00920909">
        <w:rPr>
          <w:rFonts w:ascii="Times New Roman" w:eastAsia="Times New Roman" w:hAnsi="Times New Roman" w:cs="Times New Roman"/>
          <w:i/>
          <w:sz w:val="26"/>
          <w:szCs w:val="26"/>
        </w:rPr>
        <w:t>(ii) Năng lực của các cơ quan bảo vệ quyền SHTT còn hạn chế</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Năng lực của các cơ quan bảo vệ quyền SHTT còn thiếu và yếu (cả về hạ tầng kỹ thuật, thượng tầng thông tin và đội ngũ cán bộ); một số cơ quan bảo vệ quyền chưa có lực lượng chuyên trách về SHTT. Khi giải quyết các vụ tranh chấp, xâm phạm quyền, phần lớn các cơ quan thực thi không thể chủ động, mà còn lệ thuộc vào ý kiến giám định, ý kiến của cơ quan chuyên môn. Điều này khiến cho nhiều vụ việc bị kéo dài thời gian xử lý, chất lượng giải quyết chưa cao. Bên cạnh đó, cơ chế phối hợp giữa các cơ quan thực thi quyền SHTT đôi khi chưa đồng bộ, dẫn đến giảm hiệu quả thực hiện các biện pháp bảo vệ quyền.</w:t>
      </w:r>
    </w:p>
    <w:p w:rsidR="00D2154F" w:rsidRPr="00920909" w:rsidRDefault="00BE72F1" w:rsidP="00920909">
      <w:pPr>
        <w:spacing w:before="120" w:after="60" w:line="264" w:lineRule="auto"/>
        <w:ind w:firstLine="567"/>
        <w:jc w:val="both"/>
        <w:rPr>
          <w:rFonts w:ascii="Times New Roman" w:eastAsia="Times New Roman" w:hAnsi="Times New Roman" w:cs="Times New Roman"/>
          <w:i/>
          <w:sz w:val="26"/>
          <w:szCs w:val="26"/>
        </w:rPr>
      </w:pPr>
      <w:r w:rsidRPr="00920909">
        <w:rPr>
          <w:rFonts w:ascii="Times New Roman" w:eastAsia="Times New Roman" w:hAnsi="Times New Roman" w:cs="Times New Roman"/>
          <w:i/>
          <w:sz w:val="26"/>
          <w:szCs w:val="26"/>
        </w:rPr>
        <w:t>(iii) Hệ thống hỗ trợ cho công tác bảo vệ quyền chưa đáp ứng được yêu cầu của thực tiễn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Hiện nay, Viện SHTT quốc gia (Viện SHTT QG) là tổ chức giám định quyền sở hữu công nghiệp duy nhất tại Việt Nam, về cá nhân, chỉ có 10 người được cấp Thẻ giám định viên SHCN, trong đó 02 người đang “</w:t>
      </w:r>
      <w:r w:rsidRPr="00920909">
        <w:rPr>
          <w:rFonts w:ascii="Times New Roman" w:eastAsia="Times New Roman" w:hAnsi="Times New Roman" w:cs="Times New Roman"/>
          <w:i/>
          <w:sz w:val="26"/>
          <w:szCs w:val="26"/>
        </w:rPr>
        <w:t>hoạt động trong tổ chức giám định, dưới danh nghĩa của tổ chức”</w:t>
      </w:r>
      <w:r w:rsidRPr="00920909">
        <w:rPr>
          <w:rFonts w:ascii="Times New Roman" w:eastAsia="Times New Roman" w:hAnsi="Times New Roman" w:cs="Times New Roman"/>
          <w:sz w:val="26"/>
          <w:szCs w:val="26"/>
        </w:rPr>
        <w:t xml:space="preserve"> (Viện SHTT QG), 08 người còn lại “</w:t>
      </w:r>
      <w:r w:rsidRPr="00920909">
        <w:rPr>
          <w:rFonts w:ascii="Times New Roman" w:eastAsia="Times New Roman" w:hAnsi="Times New Roman" w:cs="Times New Roman"/>
          <w:i/>
          <w:sz w:val="26"/>
          <w:szCs w:val="26"/>
        </w:rPr>
        <w:t>hoạt động độc lập</w:t>
      </w:r>
      <w:r w:rsidRPr="00920909">
        <w:rPr>
          <w:rFonts w:ascii="Times New Roman" w:eastAsia="Times New Roman" w:hAnsi="Times New Roman" w:cs="Times New Roman"/>
          <w:sz w:val="26"/>
          <w:szCs w:val="26"/>
        </w:rPr>
        <w:t xml:space="preserve">” nhưng ít hoạt động. Hầu hết các vụ giám định đều được thực hiện bởi Viện SHTT QG.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Trong lĩnh vực bảo hộ giống cây trồng, hiện Việt Nam chưa có hệ thống giám định viên độc lập chuyên sâu trong lĩnh vực giống cây trồng, mà chủ yếu phụ thuộc vào ý kiến chuyên môn của Cục Trồng trọt và các tổ chức khảo nghiệm giống cây trồng. Điều này gây khó khăn khi các vụ việc có tranh chấp phức tạp, cần xác định chính xác giống có thực sự bị xâm phạm hay không.</w:t>
      </w:r>
    </w:p>
    <w:p w:rsidR="00D2154F" w:rsidRPr="00920909" w:rsidRDefault="00BE72F1" w:rsidP="00920909">
      <w:pPr>
        <w:spacing w:before="120" w:after="60" w:line="264" w:lineRule="auto"/>
        <w:ind w:firstLine="567"/>
        <w:jc w:val="both"/>
        <w:rPr>
          <w:rFonts w:ascii="Times New Roman" w:eastAsia="Times New Roman" w:hAnsi="Times New Roman" w:cs="Times New Roman"/>
          <w:i/>
          <w:sz w:val="26"/>
          <w:szCs w:val="26"/>
        </w:rPr>
      </w:pPr>
      <w:r w:rsidRPr="00920909">
        <w:rPr>
          <w:rFonts w:ascii="Times New Roman" w:eastAsia="Times New Roman" w:hAnsi="Times New Roman" w:cs="Times New Roman"/>
          <w:i/>
          <w:sz w:val="26"/>
          <w:szCs w:val="26"/>
        </w:rPr>
        <w:t>(iv) Việc thực hiện hoạt động bảo vệ quyền SHTT trên môi trường số còn nhiều hạn chế</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Cùng với sự phát triển vũ bão của thương mại điện tử, đặc biệt là sau đại dịch Covid-19, các hành vi xâm phạm quyền trên môi trường số ngày càng phổ biến, ảnh hưởng xấu đến môi trường kinh doanh, niềm tin của người tiêu dùng. Trong khi đó, các cơ chế kiểm soát nội dung vi phạm trên nền tảng số chưa đủ mạnh. Do vậy, thực tiễn cho thấy cần phải sớm bổ sung các quy định mang tính chất đặc thù với việc bảo vệ quyền SHTT trên môi trường số, đảm bảo các biện pháp đủ hiệu quả, đủ sức răn đe và đặc biệt là kịp thời xử lý các hành vi xâm phạm quyền trên môi trường số theo thời gian thực.</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2.3. Thực hiện các quy định về chính sách của Nhà nước về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Các chính sách của Nhà nước về SHTT đã được khẳng định tương đối rõ ràng và đầy đủ trong quy định của Luật SHTT (Điều 8) và các văn bản dưới Luật. Cho đến nay, sau 20 năm thi hành Luật SHTT đã cho thấy việc thực hiện các chính sách của Nhà nước về SHTT đã đạt được một số kết quả nhất định:</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a) Về việc xây dựng và thực hiện các chính sách, biện pháp khuyến khích, hỗ trợ hoạt động sáng tạo, khai thác tài sản trí tuệ: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i/>
          <w:sz w:val="26"/>
          <w:szCs w:val="26"/>
        </w:rPr>
        <w:t>- Về việc xây dựng khung pháp lý cho việc khuyến khích, hỗ trợ hoạt động sáng tạo, khai thác tài sản trí tuệ:</w:t>
      </w:r>
      <w:r w:rsidRPr="00920909">
        <w:rPr>
          <w:rFonts w:ascii="Times New Roman" w:eastAsia="Times New Roman" w:hAnsi="Times New Roman" w:cs="Times New Roman"/>
          <w:sz w:val="26"/>
          <w:szCs w:val="26"/>
        </w:rPr>
        <w:t xml:space="preserve"> Ngày 02/3/2012, Chính phủ đã ban hành Nghị định số 13/2012/NĐ-CP ban hành Điều lệ Sáng kiến, trên cơ sở đó, Bộ KH&amp;CN đã ban hành Thông tư 18/2013/TT-BKHCN hướng dẫn thi hành một số quy định của Điều lệ Sáng kiến. Điều lệ Sáng kiến là cơ sở pháp lý hết sức quan trọng và có ý nghĩa thiết thực đối với hoạt động sáng tạo. Liên quan đến vấn đề tài chính của hoạt động sáng kiến, ngày 15/01/2019, Bộ Tài chính đã ban hành Thông tư số 03/2019/TT-BTC quy định về nguồn kinh phí, nội dung và mức chi từ ngân sách nhà nước để thực hiện hoạt động sáng kiến.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Để tạo khung pháp lý cho hoạt động chuyển giao, chuyển nhượng, góp vốn đầu tư kinh doanh, khai thác thương mại các tài sản trí tuệ và tạo điều kiện thuận lợi hoạt động định giá tài sản trí tuệ, ngày 17/12/2014, Thông tư liên tịch số 39/2014/TTLT/BKHCN-BTC giữa Bộ KH&amp;CN và Bộ Tài chính quy định việc định giá kết quả nghiên cứu khoa học và phát triển công nghệ, tài sản trí tuệ sử dụng ngân sách nhà nước cũng đã được ban hành, trong đó có đưa ra các quy định hướng dẫn một số nguyên tắc định giá đối tượng quyền SHTT, phương thức định giá tài sản trí tuệ, bên cạnh đó, hệ thống các doanh nghiệp có chức năng chuyên nghiệp về định giá tài sản, trong đó bao gồm cả tài sản trí tuệ cũng đã hình thành và từng bước phát triển.</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Tuy nhiên, thực tiễn cho thấy việc khai thác thương mại quyền SHTT của các tổ chức, cá nhân Việt Nam còn hạn chế, chưa có quy định rõ ràng về định giá, thế chấp bằng quyền SHTT, chưa thúc đẩy được thị trường về quyền SHTT. Do đó cần bổ sung chính sách của Nhà nước về SHTT như: hỗ trợ tài chính cho việc tạo ra, xác lập, đăng ký, ghi nhận, công bố, bảo hộ, khai thác, quản lý, sử dụng, phát triển tài sản trí tuệ nội địa; hỗ trợ tổ chức, cá nhân Việt Nam thực hiện thực hiện các mô hình chuyển nhượng, chuyển giao quyền sử dụng các đối tượng của quyền SHTT; Có chính sách vinh danh và khen thưởng </w:t>
      </w:r>
      <w:r w:rsidRPr="00920909">
        <w:rPr>
          <w:rFonts w:ascii="Times New Roman" w:eastAsia="Times New Roman" w:hAnsi="Times New Roman" w:cs="Times New Roman"/>
          <w:sz w:val="26"/>
          <w:szCs w:val="26"/>
        </w:rPr>
        <w:lastRenderedPageBreak/>
        <w:t>đối với các tổ chức, cá nhân có thành tích nổi bật trong hoạt động tạo ra, khai thác quyền SHTT (Sở KH&amp;CN Tp.Hồ Chí Minh).</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i/>
          <w:sz w:val="26"/>
          <w:szCs w:val="26"/>
        </w:rPr>
        <w:t>- Về việc thực hiện các biện pháp nhằm khuyến khích, hỗ trợ hoạt động sáng tạo, khai thác tài sản trí tuệ:</w:t>
      </w:r>
      <w:r w:rsidRPr="00920909">
        <w:rPr>
          <w:rFonts w:ascii="Times New Roman" w:eastAsia="Times New Roman" w:hAnsi="Times New Roman" w:cs="Times New Roman"/>
          <w:sz w:val="26"/>
          <w:szCs w:val="26"/>
        </w:rPr>
        <w:t xml:space="preserve"> Với vai trò là cơ quan đầu mối của Bộ KH&amp;CN thực hiện chức năng quản lý nhà nước về SHTT trong phạm vi cả nước, Cục SHTT đã triển khai thực hiện nhiều biện pháp nhằm góp phần khuyến khích, hỗ trợ, thúc đẩy các hoạt động nghiên cứu, sáng tạo và ứng dụng các thành quả sáng tạo trong KHCN vào mọi mặt của đời sống và sản xuất, thông qua việc thực hiện thủ tục đăng ký xác lập quyền SHCN; xây dựng, quản lý và tổ chức khai thác cơ sở dữ liệu thông tin về SHCN nhằm phục vụ cho các hoạt động nghiên cứu và ứng dụng các thành quả của KHCN vào hoạt động sản xuất kinh doanh; tuyên truyền, phổ biến các kiến thức, pháp luật về SHTT, tư vấn, hỗ trợ cho các tổ chức, cá nhân trong hoạt động tạo lập, đăng ký xác lập quyền, khai thác và bảo vệ tài sản trí tuệ…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Để khuyến khích, hỗ trợ cho các hoạt động sáng tạo, khai thác và ứng dụng các thành quả sáng tạo vào cuộc sống, Bộ KH&amp;CN đã xây dựng, trình Thủ tướng Chính phủ phê duyệt </w:t>
      </w:r>
      <w:r w:rsidRPr="00920909">
        <w:rPr>
          <w:rFonts w:ascii="Times New Roman" w:eastAsia="Times New Roman" w:hAnsi="Times New Roman" w:cs="Times New Roman"/>
          <w:i/>
          <w:sz w:val="26"/>
          <w:szCs w:val="26"/>
        </w:rPr>
        <w:t>“Chương trình hỗ trợ phát triển tài sản trí tuệ của doanh nghiệp”</w:t>
      </w:r>
      <w:r w:rsidRPr="00920909">
        <w:rPr>
          <w:rFonts w:ascii="Times New Roman" w:eastAsia="Times New Roman" w:hAnsi="Times New Roman" w:cs="Times New Roman"/>
          <w:sz w:val="26"/>
          <w:szCs w:val="26"/>
        </w:rPr>
        <w:t xml:space="preserve"> theo Quyết định số 68/2005/QĐ-TTg ngày 04/4/2005 (“Chương trình 68”). Bộ KH&amp;CN được giao chủ trì tổ chức triển khai Chương trình, phối hợp với nhiều Bộ, ngành có liên quan, Uỷ ban nhân dân các tỉnh, thành phố trực thuộc Trung ương, các hội, hiệp hội ngành nghề trong cả nước, v.v. Chương trình đã được triển khai qua 3 giai đoạn 2005-2010, giai đoạn 2011-2015 và giai đoạn 2016-2020; đến nay đang triển khai giai đoạn 4 (2020-2030). Mục tiêu của Chương trình là nâng cao khả năng cạnh tranh của doanh nghiệp Việt Nam trên thị trường trong nước và quốc tế thông qua việc hỗ trợ xác lập, khai thác, bảo vệ và phát triển tài sản trí tuệ, nâng cao nhận thức của doanh nghiệp Việt Nam về bảo hộ SHTT. Với mục tiêu trên, Chương trình đã tập trung thực hiện một số nội dung chủ yếu, đó là: khuyến khích hoạt động sáng tạo, hỗ trợ doanh nghiệp tạo lập, khai thác, bảo vệ quyền SHTT đối với các thành quả sáng tạo, hỗ trợ doanh nghiệp khai thác thông tin SHTT v.v.</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Qua 20 năm triển khai, Chương trình 68 đã tạo ra hướng đi mới cho các địa phương, các cơ quan chuyên môn trong việc triển khai các hoạt động hỗ trợ cộng đồng, doanh nghiệp trong việc tạo lập, quản lý, ứng dụng và khai thác các tài sản trí tuệ, góp phần nâng cao nhận thức của doanh nghiệp về bảo hộ quyền SHTT, nâng cao chất lượng và khả năng cạnh tranh của sản phẩm, đặc biệt là các sản phẩm nông nghiệp của Việt Nam…</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Bên cạnh sự hỗ trợ tích cực của cơ quan quản lý nhà nước về SHTT, nhiều cơ quan, đơn vị trong cả nước cũng đã chủ động triển khai nhiều hoạt động nhằm thúc đẩy tạo ra và khai thác tài sản trí tuệ. Ví dụ, Viện hàn lâm KH&amp;CN đã phối hợp với Cục SHTT tổ chức các lớp tập huấn thường niên về nâng cao kỹ năng viết bản mô tả sáng chế, kỹ năng giải trình và theo đuổi đơn đăng ký đi đến văn bằng độc quyền thành công, kỹ năng đàm phán đối tác nhằm thương mại hóa tài sản trí tuệ đã được bảo hộ.</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Ở cấp địa phương, các hoạt động hỗ trợ, thúc đẩy tổ chức, cá nhân tạo lập và khai thác tài sản trí tuệ được lồng ghép trong nhiều chương trình, đề án của địa phương như: OCOP, phát triển thương hiệu/nhãn hiệu sản phẩm chủ lực, hỗ trợ doanh nghiệp nhỏ và vừa, khuyến công, Chiến lược SHTT đến 2030, Đề án phát triển hệ sinh thái khởi nghiệp đổi mới sáng tạo, v.v.</w:t>
      </w:r>
    </w:p>
    <w:p w:rsidR="00D2154F" w:rsidRPr="00920909" w:rsidRDefault="00D2154F" w:rsidP="00920909">
      <w:pPr>
        <w:spacing w:before="120" w:after="60" w:line="264" w:lineRule="auto"/>
        <w:ind w:firstLine="567"/>
        <w:jc w:val="both"/>
        <w:rPr>
          <w:rFonts w:ascii="Times New Roman" w:eastAsia="Times New Roman" w:hAnsi="Times New Roman" w:cs="Times New Roman"/>
          <w:i/>
          <w:sz w:val="26"/>
          <w:szCs w:val="26"/>
        </w:rPr>
      </w:pP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b) Về việc thực hiện các chính sách, biện pháp huy động các nguồn lực xã hội đầu tư nâng cao năng lực hệ thống bảo hộ quyền SHTT, đáp ứng yêu cầu phát triển kinh tế - xã hội và hội nhập kinh tế quốc tế: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Hiện chưa có chính sách cụ thể thúc đẩy sự tham gia của xã hội vào việc nâng cao năng lực hệ thống SHTT. Tuy nhiên, các viện nghiên cứu, trường đại học và một số tổ chức có chức năng tư vấn, hỗ trợ, cung cấp các dịch vụ về SHTT đang là những chủ thể tham gia tích cực vào hệ thống SHTT của Việt Nam.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Trong lĩnh vực SHCN, sau khi Luật SHTT được ban hành, 09 kỳ kiểm tra nghiệp vụ đại diện SHCN đã được tổ chức (vào các năm 2006, 2007, 2009, 2011, 2013, 2015, 2017, 2019 và 2022) và tính đến ngày 31/12/2024, cả nước đã có 346 tổ chức dịch vụ đại diện SHCN, 587 cá nhân được cấp Chứng chỉ hành nghề đại diện SHCN.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Liên quan đến dịch vụ giám định SHCN, mặc dù cơ sở pháp lý cho việc xã hội hóa đối với hoạt động này đã tương đối đầy đủ, đồng bộ, song hiện nay cả nước mới chỉ có duy nhất một tổ chức giám định SHCN là Viện SHTT quốc gia (thuộc Bộ KH&amp;CN). Theo thống kê của Viện, từ tháng 9 năm 2009 đến tháng 7 năm 2025, Viện đã tiếp nhận và xử lý 12.469 vụ việc giám định các loại theo yêu cầu/trưng cầu của các tổ chức, cá nhân, trong đó đa số là vụ việc liên quan đến nhãn hiệu; 1.477 vụ việc theo trưng cầu của các cơ quan thực thi quyền. Với nhu cầu sử dụng dịch vụ giám định sở hữu ngày càng tăng, trung bình 15%/năm, chủ yếu xuất phát từ các doanh nghiệp và các cá nhân, chiếm 88.62% yêu cầu giám định. Các yêu cầu giám định của các cơ quan thực thi chủ yếu xuất phát từ các cơ quan có thẩm quyền xử lý hành chính (chiếm 99% ). Các cơ quan tố tụng rất ít sử dụng công cụ này.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Một số tổ chức, hiệp hội nghề nghiệp khác trong lĩnh vực SHTT cũng đã được thành lập (như Hội Sáng chế Việt Nam (V.I.A), Hiệp hội chống hàng giả và bảo vệ quyền SHTT của các doanh nghiệp có vốn đầu tư nước ngoài tại Việt Nam (VACIP), Hiệp hội chống hàng giả và bảo vệ thương hiệu Việt Nam, Hội SHTT Việt Nam (VIPA), v.v.). Đây là những nhân tố quan trọng, hỗ trợ tích cực cho các chủ thể quyền, các cơ quan nhà nước có thẩm quyền trong hoạt động đăng ký xác lập quyền, khai thác và bảo vệ các thành quả sáng tạo, nâng cao hiệu quả hoạt động của hệ thống SHTT.</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c) Về phát triển công nghiệp văn hóa</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Công nghiệp văn hóa đang trở thành xu hướng và được xác định là phần quan trọng, bền vững, đóng góp vào sự tăng trưởng của đất nước. Qua số liệu ước tính, giá trị tăng </w:t>
      </w:r>
      <w:r w:rsidRPr="00920909">
        <w:rPr>
          <w:rFonts w:ascii="Times New Roman" w:eastAsia="Times New Roman" w:hAnsi="Times New Roman" w:cs="Times New Roman"/>
          <w:sz w:val="26"/>
          <w:szCs w:val="26"/>
        </w:rPr>
        <w:lastRenderedPageBreak/>
        <w:t xml:space="preserve">thêm (giá hiện hành) của các ngành công nghiệp văn hóa đóng góp vào nền kinh tế năm năm 2022 ước đạt 4,04%. Giá trị sản xuất của các ngành công nghiệp văn hóa Việt Nam đóng góp ước bình quân đạt 1,059 triệu tỷ đồng (44 tỷ USD). Bình quân 5 năm tốc độ tăng trưởng về số lượng các cơ sở kinh tế hoạt động trong các ngành công nghiệp văn hóa ước đạt 7,2%/năm. Lực lượng lao động thuộc các ngành công nghiệp văn hóa tăng khá nhanh, bình quân 5 năm lao động tăng 7,4%/năm, năm 2022 thu hút khoảng 2,3 triệu lao động, chiếm tỷ trọng 4,42% trong tổng lực lượng lao động của nền kinh tế. Xuất nhập khẩu sản phẩm, dịch vụ của các ngành công nghiệp văn hóa tạo ra giá trị xuất siêu, năm 2022 xuất siêu tiếp tục tăng, ước đạt 41,9 tỷ USD.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Công nghiệp văn hóa là nhóm ngành mới, giá trị gia tăng đóng góp cho nền kinh tế thể hiện là nhóm ngành có lợi thế quốc gia của Việt Nam, góp phần tăng năng lực cạnh tranh của nền kinh tế và quảng bá hình ảnh Việt Nam với thế giới. Đây là nhóm ngành có giá trị hàng hóa, dịch vụ xuất khẩu tăng khá nhanh trong thời gian gần đây. Các ngành công nghiệp văn hoá có tỷ lệ giá trị gia tăng cao hơn so với chi phí sản xuất, góp phần tiết kiệm tài nguyên, kết hợp và phát huy được các yếu tố tự nhiên, văn hóa, bản sắc dân tộc và đáp ứng mục tiêu phát triển bền vững.</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Nhìn chung, các bộ, ngành, địa phương đã kịp thời chỉ đạo, và phê duyệt các kế hoạch, đề án, quy hoạch liên quan đến phát triển 12 ngành công nghiệp văn hóa; bước đầu đã tạo cơ sở pháp lý, điều kiện cho đầu tư, phát triển một số ngành nghề, lĩnh vực có tiềm năng, lợi thế. Nhận thức của toàn xã hội về vai trò, tầm quan trọng của công nghiệp văn hóa đã từng bước được nâng cao. Kết quả cho thấy, một số doanh nghiệp, tổ chức, cá nhân đã đầu tư, nắm bắt cơ hội, triển khai hình thành các sản phẩm, dịch vụ công nghiệp văn hoá để kinh doanh, phát triển, mang lại những lợi ích nhất định về kinh tế, văn hóa, xã hội. Các ngành công nghiệp có khả năng phát triển nhanh, lâu dài và bền vững, có giá trị tôn vinh văn hóa, bản sắc dân tộc, định vị thương hiệu quốc gia trên trường quốc tế. Cùng với sự phát triển liên tục của khoa học - công nghệ, đặc biệt là cuộc cách mạng công nghiệp 4.0, công nghiệp văn hoá dựa trên chất liệu cơ bản và quan trọng nhất là sự sáng tạo, do vậy xu hướng phát triển của các sản phẩm và dịch vụ trong các ngành công nghiệp văn hoá Việt Nam phải đáp ứng được các yếu tố sáng tạo, có bản sắc riêng, mang tính độc đáo và đáp ứng khả năng cạnh tranh trên thị trường trong nước và quốc tế.</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Sau Hội nghị toàn quốc về phát triển các ngành công nghiệp văn hóa ngày 23/12/2023, Thủ tướng Chính phủ đã ban hành Chỉ thị số 30/CT-TTg ngày 29/8/2024 về phát triển các ngành công nghiệp văn hóa Việt Nam, trong đó Chỉ thị của Thủ tướng Chính phủ có một số yêu cầu các Bộ, ngành, địa phương tiếp tục triển khai mạnh mẽ Chiến lược phát triển các ngành công nghiệp văn hóa đến năm 2020, tầm nhìn đến năm 2030 (Quyết định số 1755/QĐ-TTg), đồng thời tập trung thực hiện một số nhiệm vụ, giải pháp như: “Chủ động rà soát, tham mưu trình cấp có thẩm quyền sửa đổi, ban hành hoặc ban hành theo thẩm quyền các văn bản pháp luật, cơ chế, chính sách cần thiết để hỗ trợ, khuyến khích và thúc đẩy phát triển các ngành công nghiệp văn hóa trong giai đoạn tới; </w:t>
      </w:r>
      <w:r w:rsidRPr="00920909">
        <w:rPr>
          <w:rFonts w:ascii="Times New Roman" w:eastAsia="Times New Roman" w:hAnsi="Times New Roman" w:cs="Times New Roman"/>
          <w:sz w:val="26"/>
          <w:szCs w:val="26"/>
        </w:rPr>
        <w:lastRenderedPageBreak/>
        <w:t>ưu tiên các chính sách về: Ưu đãi đầu tư, đối tác công - tư, quản lý tài sản công, thuế, tiếp cận tín dụng, tăng cường ứng dụng khoa học công nghệ, hình thành hệ thống cơ sở dữ liệu, đẩy mạnh cải cách thủ tục hành chính gắn với chuyển đổi số, rà soát, đơn giản hóa các điều kiện kinh doanh nhằm phát huy vai trò, nguồn lực từ cộng đồng doanh nghiệp, các chuyên gia, đội ngũ nhân lực sáng tạo”.</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d) Về khuyến khích nghiên cứu, tạo giống và đăng ký bảo hộ </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Bộ Nông nghiệp và Phát triển nông thôn (nay là Bộ Nông nghiệp và Môi trường) đã ban hành nhiều chương trình, chính sách khuyến khích hoạt động nghiên cứu, chọn tạo giống cây trồng mới, hỗ trợ các tổ chức, cá nhân đăng ký bảo hộ quyền. Các chương trình trọng điểm như Chương trình phát triển nghiên cứu, sản xuất giống phục vụ cơ cấu lại ngành nông nghiệp giai đoạn 2021 - 2030 cùng các dự án ứng dụng KHCN trong sản xuất nông nghiệp, đã tạo điều kiện thuận lợi để các viện, trường, doanh nghiệp và cá nhân tham gia sáng tạo và thương mại hóa giống cây trồng.</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Hoạt động tuyên truyền và hỗ trợ pháp lý: Cục Trồng trọt và Bảo vệ thực vật – đơn vị đầu mối quản lý nhà nước về bảo hộ giống cây trồng – đã phối hợp với các đơn vị liên quan tổ chức nhiều hội thảo, hội nghị tập huấn, cung cấp tài liệu và tư vấn kỹ thuật, pháp lý nhằm nâng cao nhận thức cho cộng đồng về quyền đối với giống cây trồng. Hệ thống cơ sở dữ liệu giống cây trồng cũng được số hóa và cập nhật thường xuyên nhằm hỗ trợ công khai, minh bạch thông tin và phục vụ việc tra cứu, khai thác thương mại.</w:t>
      </w:r>
    </w:p>
    <w:p w:rsidR="00D2154F" w:rsidRPr="00920909" w:rsidRDefault="00BE72F1" w:rsidP="00920909">
      <w:pPr>
        <w:spacing w:before="120" w:after="60" w:line="264" w:lineRule="auto"/>
        <w:ind w:firstLine="567"/>
        <w:jc w:val="both"/>
        <w:rPr>
          <w:rFonts w:ascii="Times New Roman" w:eastAsia="Times New Roman" w:hAnsi="Times New Roman" w:cs="Times New Roman"/>
          <w:b/>
          <w:sz w:val="26"/>
          <w:szCs w:val="26"/>
        </w:rPr>
      </w:pPr>
      <w:r w:rsidRPr="00920909">
        <w:rPr>
          <w:rFonts w:ascii="Times New Roman" w:eastAsia="Times New Roman" w:hAnsi="Times New Roman" w:cs="Times New Roman"/>
          <w:b/>
          <w:sz w:val="26"/>
          <w:szCs w:val="26"/>
        </w:rPr>
        <w:t>III. ĐỀ XUẤT, KIẾN NGHỊ</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Để tiếp tục hoàn thiện hành lang pháp lý về SHTT, đáp ứng yêu cầu của thực tiễn phát triển kinh tế - xã hội trong nước và hội nhập quốc tế, trên cơ sở tổng hợp ý kiến của các bộ, ngành, cơ quan, đơn vị về việc thi hành Luật SHTT, Bộ KH&amp;CN đề xuất sửa đổi, bổ sung Luật SHTT với các chính sách sau:</w:t>
      </w:r>
    </w:p>
    <w:p w:rsidR="00D2154F" w:rsidRPr="00920909" w:rsidRDefault="00BE72F1" w:rsidP="00920909">
      <w:pPr>
        <w:spacing w:before="120" w:after="60" w:line="264" w:lineRule="auto"/>
        <w:ind w:firstLine="720"/>
        <w:jc w:val="both"/>
        <w:rPr>
          <w:rFonts w:ascii="Times New Roman" w:eastAsia="Times New Roman" w:hAnsi="Times New Roman" w:cs="Times New Roman"/>
          <w:i/>
          <w:sz w:val="26"/>
          <w:szCs w:val="26"/>
        </w:rPr>
      </w:pPr>
      <w:bookmarkStart w:id="2" w:name="_hr24gybsuwq3" w:colFirst="0" w:colLast="0"/>
      <w:bookmarkEnd w:id="2"/>
      <w:r w:rsidRPr="00920909">
        <w:rPr>
          <w:rFonts w:ascii="Times New Roman" w:eastAsia="Times New Roman" w:hAnsi="Times New Roman" w:cs="Times New Roman"/>
          <w:b/>
          <w:i/>
          <w:sz w:val="26"/>
          <w:szCs w:val="26"/>
        </w:rPr>
        <w:t>Chính sách 1: Hỗ trợ tạo ra và khai thác thương mại các đối tượng quyền SHTT nhằm thúc đẩy đổi mới sáng tạo</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Hiện nay, tài sản trí tuệ ngày càng đóng vai trò quan trọng đối với phát triển kinh tế - xã hội, SHTT gắn liền với đổi mới sáng tạo, khai thác giá trị, phục vụ thương mại hóa và phát triển doanh nghiệp. Trong khi đó, việc khai thác thương mại quyền SHTT của các tổ chức, cá nhân Việt Nam còn hạn chế, chưa có quy định rõ ràng về định giá, thế chấp bằng quyền SHTT, chưa thúc đẩy được thị trường về quyền SHTT, do đó, Luật SHTT cần sửa đổi, bổ sung các nội dung sau: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Sửa đổi, bổ sung quy định để khẳng định rõ hơn quyền SHTT là tài sản theo quy định của Bộ luật dân sự và được pháp luật bảo vệ, có giá trị kinh tế và khả năng khai thác thương mại;</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3" w:name="_opa5hzugzkud" w:colFirst="0" w:colLast="0"/>
      <w:bookmarkEnd w:id="3"/>
      <w:r w:rsidRPr="00920909">
        <w:rPr>
          <w:rFonts w:ascii="Times New Roman" w:eastAsia="Times New Roman" w:hAnsi="Times New Roman" w:cs="Times New Roman"/>
          <w:sz w:val="26"/>
          <w:szCs w:val="26"/>
        </w:rPr>
        <w:t xml:space="preserve">- Quy định làm rõ chính sách của Nhà nước trong việc hỗ trợ tạo lập, đăng ký, ghi nhận, công bố, bảo hộ, khai thác, quản lý, phát triển tài sản trí tuệ nội địa, đặc biệt trong </w:t>
      </w:r>
      <w:r w:rsidRPr="00920909">
        <w:rPr>
          <w:rFonts w:ascii="Times New Roman" w:eastAsia="Times New Roman" w:hAnsi="Times New Roman" w:cs="Times New Roman"/>
          <w:sz w:val="26"/>
          <w:szCs w:val="26"/>
        </w:rPr>
        <w:lastRenderedPageBreak/>
        <w:t>các ngành công nghệ mới nổi, trí tuệ nhân tạo (AI), dược phẩm, vật liệu mới, năng lượng, v.v; khuyến khích, thúc đẩy đổi mới sáng tạo thông qua bảo hộ quyền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quy định nguyên tắc về việc được thí điểm chính sách tài chính dựa trên quyền SHTT: Hỗ trợ vay vốn hoặc huy động vốn trên cơ sở thế chấp bằng tài sản trí tuệ, phát triển các sản phẩm bảo hiểm về SHTT, góp vốn bằng tài sản trí tuệ, chứng khoán hóa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định về trách nhiệm xây dựng các tiêu chuẩn định giá tài sản trí tuệ, quy định về kế toán liên quan đến tài sản trí tuệ trong doanh nghiệp, cập nhật các chuẩn mực kế toán về tài sản trí tuệ; hướng dẫn thực hiện các mô hình chuyển nhượng, chuyển giao quyền sử dụng các đối tượng của quyền SHTT (bao gồm việc gộp bằng sáng chế);</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4" w:name="_sce2hgpw9rgm" w:colFirst="0" w:colLast="0"/>
      <w:bookmarkEnd w:id="4"/>
      <w:r w:rsidRPr="00920909">
        <w:rPr>
          <w:rFonts w:ascii="Times New Roman" w:eastAsia="Times New Roman" w:hAnsi="Times New Roman" w:cs="Times New Roman"/>
          <w:sz w:val="26"/>
          <w:szCs w:val="26"/>
        </w:rPr>
        <w:t xml:space="preserve">- Bổ sung quy định về chính sách phát triển hệ sinh thái SHTT đồng bộ và hiệu quả, trong đó ưu tiên thúc đẩy hình thành và nâng cao năng lực cho các tổ chức trong hệ sinh thái SHTT (các tổ chức chuyên nghiệp về SHTT như: tổ chức dịch vụ đại diện SHTT, tổ chức liên quan đến dữ liệu, tổ chức xếp hạng tín dụng, hiệp hội ngành nghề, tổ chức đào tạo và phát triển nguồn nhân lực; tổ chức khác như tổ chức định giá và thẩm định giá tài sản trí tuệ chuyên nghiệp, tổ chức tài chính tài trợ dựa trên SHTT, tổ chức bảo hiểm về SHTT, tổ chức chứng khoán liên quan đến SHTT, sàn giao dịch về tài sản trí tuệ, tổ chức bảo lãnh tín dụng dựa trên tài sản trí tuệ) đồng thời quy định về việc xây dựng Chương trình quốc gia để thực hiện chính sách này;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quy định về chính sách đào tạo nguồn nhân lực, nâng cao nhận thức về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định về hỗ trợ việc thực hiện cơ chế chia sẻ quyền SHTT, quyền khai thác giữa nhà nước, tổ chức khoa học và công nghệ và doanh nghiệp khoa học và công nghệ;</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5" w:name="_1gpmrugiw5ad" w:colFirst="0" w:colLast="0"/>
      <w:bookmarkEnd w:id="5"/>
      <w:r w:rsidRPr="00920909">
        <w:rPr>
          <w:rFonts w:ascii="Times New Roman" w:eastAsia="Times New Roman" w:hAnsi="Times New Roman" w:cs="Times New Roman"/>
          <w:sz w:val="26"/>
          <w:szCs w:val="26"/>
        </w:rPr>
        <w:t xml:space="preserve">- Bổ sung các quy định về điều kiện chuyển giao, nghĩa vụ công bố thông tin đối với trường hợp quyền SHTT được sử dụng làm tài sản thế chấp để vay vốn ngân hàng;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bổ sung các quy định làm rõ quyền đăng ký SHTT, khai thác thương mại các quyền này của tổ chức được giao quyền quản lý, sử dụng, sở hữu kết quả của nhiệm vụ khoa học công nghệ và đổi mới sáng tạo sử dụng ngân sách nhà nước;</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quy định xử lý xung đột quyền SHTT để tạo thuận lợi cho việc khai thác thương mại;</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bổ sung các quy định chống lạm dụng độc quyền SHTT, lạm dụng các biện pháp bảo vệ quyền SHTT và quy định để làm rõ phạm vi quyền của chủ thể quyền SHTT.</w:t>
      </w:r>
    </w:p>
    <w:p w:rsidR="00D2154F" w:rsidRPr="00920909" w:rsidRDefault="00BE72F1" w:rsidP="00920909">
      <w:pPr>
        <w:tabs>
          <w:tab w:val="left" w:pos="993"/>
          <w:tab w:val="left" w:pos="1418"/>
        </w:tabs>
        <w:spacing w:before="120" w:after="60" w:line="264" w:lineRule="auto"/>
        <w:ind w:firstLine="709"/>
        <w:jc w:val="both"/>
        <w:rPr>
          <w:rFonts w:ascii="Times New Roman" w:eastAsia="Times New Roman" w:hAnsi="Times New Roman" w:cs="Times New Roman"/>
          <w:i/>
          <w:sz w:val="26"/>
          <w:szCs w:val="26"/>
        </w:rPr>
      </w:pPr>
      <w:r w:rsidRPr="00920909">
        <w:rPr>
          <w:rFonts w:ascii="Times New Roman" w:eastAsia="Times New Roman" w:hAnsi="Times New Roman" w:cs="Times New Roman"/>
          <w:b/>
          <w:i/>
          <w:sz w:val="26"/>
          <w:szCs w:val="26"/>
        </w:rPr>
        <w:t>Chính sách 2: Đơn giản hóa thủ tục hành chính, tạo thuận lợi cho việc đăng ký, xác lập quyền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lastRenderedPageBreak/>
        <w:t>Các quy định về thủ tục cấp quyền SHTT còn phức tạp, thời gian thực hiện kéo dài, chưa đáp ứng được yêu cầu về đơn giản hóa, cắt giảm thời gian thực hiện thủ tục hành chính về SHTT; quy định về sáng chế mật nghiêm ngặt nhưng quy trình phê duyệt chưa rõ ràng, gây ùn tắc trong đăng ký quốc tế, nguồn lực dành cho cơ quan triển khai các hoạt động bảo hộ quyền SHTT còn hạn chế, do đó, Luật SHTT cần sửa đổi, bổ sung các nội dung sau:</w:t>
      </w:r>
    </w:p>
    <w:p w:rsidR="00D2154F" w:rsidRPr="00920909" w:rsidRDefault="00BE72F1" w:rsidP="00920909">
      <w:pPr>
        <w:spacing w:before="120" w:after="60" w:line="264" w:lineRule="auto"/>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ab/>
        <w:t>- Chuyển các quy định chi tiết về thủ tục xử lý đơn đăng ký từ Luật xuống Nghị định nhằm bảo đảm tính ổn định của Luật và tạo thuận lợi cho việc rà soát, sửa đổi các quy định về đăng ký, xác lập quyền SHTT theo hướng ngày càng đơn giản hơn;</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Sửa đổi quy định về thủ tục kiểm soát an ninh sáng chế và sáng chế mật trước khi đăng ký ra nước ngoài;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Hoàn thiện quy trình quản lý, thẩm định và công bố liên quan đến Bằng bảo hộ giống cây trồng; sửa đổi, bổ sung quy định về đăng ký quyền tác giả, quyền liên quan nhằm nâng cao hiệu quả cung cấp và sử dụng dịch vụ công trực tuyến, đơn giản hóa thủ tục hành chính;</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bổ sung các nội dung tương ứng tại Luật SHTT bảo đảm thống nhất với các nội dung về phân cấp, phân quyền thực hiện các thủ tục hành chính cho địa phương, phù hợp với các văn bản pháp luật khác như Luật Phí, lệ phí, v.v.;</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định ưu tiên phát triển nguồn lực, đầu tư cho cơ sở hạ tầng công nghệ thông tin, các nền tảng số phục vụ nghiệp vụ SHTT, cơ sở dữ liệu chuyên ngành SHTT, công cụ, trang thiết bị, tạo cơ chế thuận lợi cho cơ quan trực tiếp thực hiện chức năng quản lý nhà nước về SHTT để giải quyết các khó khăn vướng mắc hiện nay đồng thời bảo đảm đáp ứng nhu cầu ngày càng tăng của xã hội trong bảo hộ quyền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quy định để chuyển đổi số toàn diện hoạt động bảo hộ quyền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định làm rõ trách nhiệm của người nộp đơn về các thông tin khai trong đơn để chuyển sang cơ chế hậu kiểm; và thu hồi quyết định của cơ quan có thẩm quyền trong một số trường hợp có bằng chứng về việc thông tin không trung thực;</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6" w:name="_mxrtnfgr2373" w:colFirst="0" w:colLast="0"/>
      <w:bookmarkEnd w:id="6"/>
      <w:r w:rsidRPr="00920909">
        <w:rPr>
          <w:rFonts w:ascii="Times New Roman" w:eastAsia="Times New Roman" w:hAnsi="Times New Roman" w:cs="Times New Roman"/>
          <w:sz w:val="26"/>
          <w:szCs w:val="26"/>
        </w:rPr>
        <w:t>- Sửa đổi các quy định về thời hạn xử lý đơn đăng ký sở hữu công nghiệp theo hướng rút ngắn thời hạn thực hiện; rút ngắn thời hạn phản đối để đẩy nhanh quá trình thẩm định đơn và đáp ứng yêu cầu của cam kết quốc tế;</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bổ sung quy định về đơn đăng ký sáng chế, nhãn hiệu, kiểu dáng công nghiệp nộp tại Việt Nam lấy làm cơ sở hưởng quyền ưu tiên khi đăng ký ra nước ngoài từ ngày được tiếp nhận để tạo thuận lợi cho việc đăng ký quyền tại nước ngoài.</w:t>
      </w:r>
    </w:p>
    <w:p w:rsidR="00D2154F" w:rsidRPr="00920909" w:rsidRDefault="00BE72F1" w:rsidP="00920909">
      <w:pPr>
        <w:tabs>
          <w:tab w:val="left" w:pos="993"/>
          <w:tab w:val="left" w:pos="1418"/>
        </w:tabs>
        <w:spacing w:before="120" w:after="60" w:line="264" w:lineRule="auto"/>
        <w:ind w:left="709"/>
        <w:jc w:val="both"/>
        <w:rPr>
          <w:rFonts w:ascii="Times New Roman" w:eastAsia="Times New Roman" w:hAnsi="Times New Roman" w:cs="Times New Roman"/>
          <w:b/>
          <w:i/>
          <w:sz w:val="26"/>
          <w:szCs w:val="26"/>
        </w:rPr>
      </w:pPr>
      <w:r w:rsidRPr="00920909">
        <w:rPr>
          <w:rFonts w:ascii="Times New Roman" w:eastAsia="Times New Roman" w:hAnsi="Times New Roman" w:cs="Times New Roman"/>
          <w:b/>
          <w:i/>
          <w:sz w:val="26"/>
          <w:szCs w:val="26"/>
        </w:rPr>
        <w:t>Chính sách 3: Nâng cao hiệu quả của hoạt động bảo vệ quyền SHTT</w:t>
      </w:r>
    </w:p>
    <w:p w:rsidR="00D2154F" w:rsidRPr="00920909" w:rsidRDefault="00BE72F1" w:rsidP="00920909">
      <w:pPr>
        <w:tabs>
          <w:tab w:val="left" w:pos="3790"/>
        </w:tabs>
        <w:spacing w:before="120" w:after="60" w:line="264" w:lineRule="auto"/>
        <w:ind w:firstLine="720"/>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Quy định về bảo vệ quyền SHTT còn chưa đủ mạnh, thiếu tính răn đe, nguồn lực hỗ trợ công tác bảo vệ quyền, đặc biệt là công tác giám định còn hạn chế (việc giám định </w:t>
      </w:r>
      <w:r w:rsidRPr="00920909">
        <w:rPr>
          <w:rFonts w:ascii="Times New Roman" w:eastAsia="Times New Roman" w:hAnsi="Times New Roman" w:cs="Times New Roman"/>
          <w:sz w:val="26"/>
          <w:szCs w:val="26"/>
        </w:rPr>
        <w:lastRenderedPageBreak/>
        <w:t>SHTT chậm và thiếu minh bạch); đội ngũ nhân lực trong cơ quan thực thi SHTT thiếu chuyên môn kỹ thuật, thiếu cơ chế hỗ trợ tích cực doanh nghiệp trong việc thực hiện các biện pháp bảo vệ quyền SHTT, do đó, Luật SHTT cần sửa đổi, bổ sung nội dung như sau:</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cơ quan tham gia thực hiện bảo vệ quyền SHTT và quy định cơ quan đầu mối để chủ thể quyền có thể cung cấp thông tin khi các yêu cầu bảo vệ quyền của mình không được giải quyết;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Sửa đổi, bổ sung quy định để mở rộng các hành vi xâm phạm quyền SHTT bị xử phạt vi phạm hành chính; làm rõ về các hành vi xâm phạm quyền SHTT bị xử lý hình sự; nâng cao mức bồi thường thiệt hại theo luật định;</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bổ sung quy định để làm rõ mối quan hệ giữa quy định về các hành vi xâm phạm quyền đối với nhãn hiệu và chỉ dẫn địa lý với quy định về hàng giả mạo nhãn hiệu và chỉ dẫn địa lý để tạo thuận lợi cho công tác bảo vệ quyền SHTT;</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7" w:name="_gp9nsoffnhe3" w:colFirst="0" w:colLast="0"/>
      <w:bookmarkEnd w:id="7"/>
      <w:r w:rsidRPr="00920909">
        <w:rPr>
          <w:rFonts w:ascii="Times New Roman" w:eastAsia="Times New Roman" w:hAnsi="Times New Roman" w:cs="Times New Roman"/>
          <w:sz w:val="26"/>
          <w:szCs w:val="26"/>
        </w:rPr>
        <w:t>- Sửa đổi, bổ sung quy định về trách nhiệm của các doanh nghiệp cung cấp dịch vụ trung gian đối với các trường hợp liên quan đến xâm phạm quyền SHTT trên môi trường số;</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8" w:name="_bweieoi6hi19" w:colFirst="0" w:colLast="0"/>
      <w:bookmarkEnd w:id="8"/>
      <w:r w:rsidRPr="00920909">
        <w:rPr>
          <w:rFonts w:ascii="Times New Roman" w:eastAsia="Times New Roman" w:hAnsi="Times New Roman" w:cs="Times New Roman"/>
          <w:sz w:val="26"/>
          <w:szCs w:val="26"/>
        </w:rPr>
        <w:t xml:space="preserve">- Sửa đổi, bổ sung quy định về các hành vi xâm phạm quyền SHTT trong đó bổ sung các hành vi xâm phạm quyền trên môi trường số;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Sửa đổi, bổ sung quy định về biện pháp, chế tài áp dụng đối các tổ chức, cá nhân thực hiện hành vi xâm phạm quyền trên môi trường số; các biện pháp cần thiết để ngăn chặn hậu quả của hành vi xâm phạm quyền trên môi trường số;</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9" w:name="_g6okdjcyo19v" w:colFirst="0" w:colLast="0"/>
      <w:bookmarkEnd w:id="9"/>
      <w:r w:rsidRPr="00920909">
        <w:rPr>
          <w:rFonts w:ascii="Times New Roman" w:eastAsia="Times New Roman" w:hAnsi="Times New Roman" w:cs="Times New Roman"/>
          <w:sz w:val="26"/>
          <w:szCs w:val="26"/>
        </w:rPr>
        <w:t>- Bổ sung quy định về việc khuyến khích sử dụng biện pháp hòa giải trong xử lý tranh chấp; quy định theo hướng giảm điều kiện để được cấp chứng chỉ hành nghề giám định viên;</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Bổ sung quy định về tăng cường nguồn lực cho cơ quan bảo vệ quyền; nâng cao nhận thức và năng lực của cơ quan bảo vệ quyền SHTT, người tiêu dùng;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định về xây dựng các hệ thống hỗ trợ thực thi quyền trực tuyến để phát hiện, theo dõi, tra cứu, cảnh báo, xử lý vi phạm trên không gian số; quy định về xây dựng cơ sở dữ liệu trực tuyến liên thông về bảo vệ quyền và cơ chế bổ sung quy định phối hợp liên ngành;</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Bổ sung chính sách hỗ trợ doanh nghiệp Việt Nam trong việc bảo vệ quyền SHTT.</w:t>
      </w:r>
    </w:p>
    <w:p w:rsidR="00D2154F" w:rsidRPr="00920909" w:rsidRDefault="00BE72F1" w:rsidP="00920909">
      <w:pPr>
        <w:tabs>
          <w:tab w:val="left" w:pos="993"/>
          <w:tab w:val="left" w:pos="1418"/>
        </w:tabs>
        <w:spacing w:before="120" w:after="60" w:line="264" w:lineRule="auto"/>
        <w:ind w:firstLine="709"/>
        <w:jc w:val="both"/>
        <w:rPr>
          <w:rFonts w:ascii="Times New Roman" w:eastAsia="Times New Roman" w:hAnsi="Times New Roman" w:cs="Times New Roman"/>
          <w:b/>
          <w:i/>
          <w:sz w:val="26"/>
          <w:szCs w:val="26"/>
        </w:rPr>
      </w:pPr>
      <w:r w:rsidRPr="00920909">
        <w:rPr>
          <w:rFonts w:ascii="Times New Roman" w:eastAsia="Times New Roman" w:hAnsi="Times New Roman" w:cs="Times New Roman"/>
          <w:b/>
          <w:i/>
          <w:sz w:val="26"/>
          <w:szCs w:val="26"/>
        </w:rPr>
        <w:t>Chính sách 4: Bảo đảm thi hành đầy đủ cam kết quốc tế của Việt Nam về bảo hộ SHTT trong quá trình hội nhập</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Để bảo đảm thi hành đầy đủ cam kết quốc tế của Việt Nam về bảo hộ SHTT trong quá trình hội nhập theo cách thức phù hợp, trong đó có thể bao gồm một số vấn đề là kết quả trao đổi, đàm phán với Hoa Kỳ trong khuôn khổ Hiệp định song phương về Thương </w:t>
      </w:r>
      <w:r w:rsidRPr="00920909">
        <w:rPr>
          <w:rFonts w:ascii="Times New Roman" w:eastAsia="Times New Roman" w:hAnsi="Times New Roman" w:cs="Times New Roman"/>
          <w:sz w:val="26"/>
          <w:szCs w:val="26"/>
        </w:rPr>
        <w:lastRenderedPageBreak/>
        <w:t>mại đối ứng giữa Việt Nam và Hoa Kỳ đang được tiến hành, do đó, Luật SHTT cần rà soát để sửa đổi nội dung như sau:</w:t>
      </w:r>
    </w:p>
    <w:p w:rsidR="00D2154F" w:rsidRPr="00920909" w:rsidRDefault="00BE72F1" w:rsidP="00920909">
      <w:pPr>
        <w:tabs>
          <w:tab w:val="left" w:pos="709"/>
        </w:tabs>
        <w:spacing w:before="120" w:after="60" w:line="264" w:lineRule="auto"/>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ab/>
        <w:t>- Sửa đổi, bổ sung quy định về phạm vi hàng hóa bị tiêu hủy hoặc đưa vào phân phối theo kênh phi thương mại;</w:t>
      </w:r>
    </w:p>
    <w:p w:rsidR="00D2154F" w:rsidRPr="00920909" w:rsidRDefault="00BE72F1" w:rsidP="00920909">
      <w:pPr>
        <w:tabs>
          <w:tab w:val="left" w:pos="709"/>
        </w:tabs>
        <w:spacing w:before="120" w:after="60" w:line="264" w:lineRule="auto"/>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ab/>
        <w:t>- Sửa đổi, bổ sung quy định về đơn lấy làm căn cứ để hưởng quyền ưu tiên theo Công ước Paris về bảo hộ sở hữu công nghiệp;</w:t>
      </w:r>
    </w:p>
    <w:p w:rsidR="00D2154F" w:rsidRPr="00920909" w:rsidRDefault="00BE72F1" w:rsidP="00920909">
      <w:pPr>
        <w:tabs>
          <w:tab w:val="left" w:pos="709"/>
        </w:tabs>
        <w:spacing w:before="120" w:after="60" w:line="264" w:lineRule="auto"/>
        <w:ind w:firstLine="709"/>
        <w:jc w:val="both"/>
        <w:rPr>
          <w:rFonts w:ascii="Times New Roman" w:eastAsia="Times New Roman" w:hAnsi="Times New Roman" w:cs="Times New Roman"/>
          <w:b/>
          <w:sz w:val="26"/>
          <w:szCs w:val="26"/>
        </w:rPr>
      </w:pPr>
      <w:r w:rsidRPr="00920909">
        <w:rPr>
          <w:rFonts w:ascii="Times New Roman" w:eastAsia="Times New Roman" w:hAnsi="Times New Roman" w:cs="Times New Roman"/>
          <w:sz w:val="26"/>
          <w:szCs w:val="26"/>
        </w:rPr>
        <w:tab/>
        <w:t>- Nghiêu cứu để xem xét sửa đổi, bổ sung quy định về ngoại lệ quyền tác giả, quyền liên quan.</w:t>
      </w:r>
    </w:p>
    <w:p w:rsidR="00D2154F" w:rsidRPr="00920909" w:rsidRDefault="00BE72F1" w:rsidP="00920909">
      <w:pPr>
        <w:spacing w:before="120" w:after="60" w:line="264" w:lineRule="auto"/>
        <w:ind w:firstLine="709"/>
        <w:jc w:val="both"/>
        <w:rPr>
          <w:rFonts w:ascii="Times New Roman" w:eastAsia="Times New Roman" w:hAnsi="Times New Roman" w:cs="Times New Roman"/>
          <w:i/>
          <w:sz w:val="26"/>
          <w:szCs w:val="26"/>
        </w:rPr>
      </w:pPr>
      <w:r w:rsidRPr="00920909">
        <w:rPr>
          <w:rFonts w:ascii="Times New Roman" w:eastAsia="Times New Roman" w:hAnsi="Times New Roman" w:cs="Times New Roman"/>
          <w:b/>
          <w:i/>
          <w:sz w:val="26"/>
          <w:szCs w:val="26"/>
        </w:rPr>
        <w:t>Chính sách 5: Cập nhật các vấn đề mới trong bảo hộ SHTT trên thế giới phù hợp với chính sách và trình độ phát triển kinh tế - xã hội của Việt Nam</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10" w:name="_e5m5t4orsyjc" w:colFirst="0" w:colLast="0"/>
      <w:bookmarkEnd w:id="10"/>
      <w:r w:rsidRPr="00920909">
        <w:rPr>
          <w:rFonts w:ascii="Times New Roman" w:eastAsia="Times New Roman" w:hAnsi="Times New Roman" w:cs="Times New Roman"/>
          <w:sz w:val="26"/>
          <w:szCs w:val="26"/>
        </w:rPr>
        <w:t>Phạm vi bảo hộ sở hữu công nghiệp còn hẹp, chưa có các quy định để xử lý các vấn đề phát sinh từ xu hướng mới trong phát triển công nghệ, đổi mới sáng tạo và chuyển đổi số, trên cơ sở nghiên cứu các vấn đề mới trong bảo hộ SHTT, dự kiến sửa đổi, bổ sung quy định của Luật SHTT để xử lý các vấn đề mới trong bảo hộ SHTT như:</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xml:space="preserve">- Sửa đổi, bổ sung quy định về bảo hộ nhãn hiệu liên quan đến dấu hiệu chỉ dẫn nguồn gốc địa lý quốc gia;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Sửa đổi, bổ sung quy định để mở rộng ngoại lệ về tính mới trong bảo hộ kiểu dáng công nghiệp và đối tượng được bảo hộ làm kiểu dáng công nghiệp (bao gồm cả thiết kế giao diện người dùng);</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bookmarkStart w:id="11" w:name="_rrsrbitv2zc" w:colFirst="0" w:colLast="0"/>
      <w:bookmarkEnd w:id="11"/>
      <w:r w:rsidRPr="00920909">
        <w:rPr>
          <w:rFonts w:ascii="Times New Roman" w:eastAsia="Times New Roman" w:hAnsi="Times New Roman" w:cs="Times New Roman"/>
          <w:sz w:val="26"/>
          <w:szCs w:val="26"/>
        </w:rPr>
        <w:t xml:space="preserve">- Sửa đổi, bổ sung quy định để bảo hộ sáng chế đối với chương trình máy tính, thuật toán trong trường hợp các đối tượng này tạo ra hiệu quả kỹ thuật hoặc giải quyết vấn đề cụ thể, đối với phương pháp kinh doanh trong trường hợp gắn với hệ thống kỹ thuật hoặc nền tảng công nghệ cụ thể; </w:t>
      </w:r>
    </w:p>
    <w:p w:rsidR="00D2154F" w:rsidRPr="00920909" w:rsidRDefault="00BE72F1" w:rsidP="00920909">
      <w:pPr>
        <w:spacing w:before="120" w:after="60" w:line="264" w:lineRule="auto"/>
        <w:ind w:firstLine="709"/>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 Bổ sung quy định để xử lý các vấn đề phát sinh từ xu hướng mới về công nghệ và đổi mới sáng tạo, chuyển đổi số như quy định bảo hộ SHTT liên quan đến AI, cơ chế bảo hộ SHTT hoặc cơ chế bảo hộ mềm đối với cơ sở dữ liệu, tệp dữ liệu, tài sản số, nội dung số, SHTT số khác, v.v.</w:t>
      </w:r>
    </w:p>
    <w:p w:rsidR="00D2154F" w:rsidRPr="00920909" w:rsidRDefault="00BE72F1" w:rsidP="00920909">
      <w:pPr>
        <w:spacing w:before="120" w:after="60" w:line="264" w:lineRule="auto"/>
        <w:ind w:firstLine="567"/>
        <w:jc w:val="both"/>
        <w:rPr>
          <w:rFonts w:ascii="Times New Roman" w:eastAsia="Times New Roman" w:hAnsi="Times New Roman" w:cs="Times New Roman"/>
          <w:sz w:val="26"/>
          <w:szCs w:val="26"/>
        </w:rPr>
      </w:pPr>
      <w:r w:rsidRPr="00920909">
        <w:rPr>
          <w:rFonts w:ascii="Times New Roman" w:eastAsia="Times New Roman" w:hAnsi="Times New Roman" w:cs="Times New Roman"/>
          <w:sz w:val="26"/>
          <w:szCs w:val="26"/>
        </w:rPr>
        <w:t>Trên đây là Báo cáo tổng kết thi hành Luật SHTT và một số đề xuất nhằm hoàn thiện pháp luật về SHTT. Bộ Khoa học và Công nghệ kính trình Chính phủ xem xét, quyết định./.</w:t>
      </w:r>
    </w:p>
    <w:p w:rsidR="00D2154F" w:rsidRDefault="00D2154F">
      <w:pPr>
        <w:spacing w:before="60" w:after="60" w:line="300" w:lineRule="auto"/>
        <w:ind w:firstLine="567"/>
        <w:jc w:val="both"/>
        <w:rPr>
          <w:rFonts w:ascii="Times New Roman" w:eastAsia="Times New Roman" w:hAnsi="Times New Roman" w:cs="Times New Roman"/>
          <w:sz w:val="28"/>
          <w:szCs w:val="28"/>
        </w:rPr>
      </w:pPr>
    </w:p>
    <w:tbl>
      <w:tblPr>
        <w:tblStyle w:val="a0"/>
        <w:tblW w:w="10078" w:type="dxa"/>
        <w:tblInd w:w="108" w:type="dxa"/>
        <w:tblLayout w:type="fixed"/>
        <w:tblLook w:val="0000" w:firstRow="0" w:lastRow="0" w:firstColumn="0" w:lastColumn="0" w:noHBand="0" w:noVBand="0"/>
      </w:tblPr>
      <w:tblGrid>
        <w:gridCol w:w="4570"/>
        <w:gridCol w:w="5508"/>
      </w:tblGrid>
      <w:tr w:rsidR="00D2154F">
        <w:tc>
          <w:tcPr>
            <w:tcW w:w="4570" w:type="dxa"/>
          </w:tcPr>
          <w:p w:rsidR="00D2154F" w:rsidRDefault="00BE72F1">
            <w:pPr>
              <w:widowControl w:val="0"/>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Nơi nhận:</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Như trên;</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Thủ tướng Chính phủ (để báo cáo);</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Các Phó Thủ tướng Chính phủ (để báo cáo);</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Văn phòng Chính phủ (để phối hợp);</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Bộ trưởng;</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t>- Thứ trưởng Hoàng Minh;</w:t>
            </w:r>
          </w:p>
          <w:p w:rsidR="00D2154F" w:rsidRDefault="00BE72F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Các Bộ: TP, VHTTDL, NNMT;</w:t>
            </w:r>
          </w:p>
          <w:p w:rsidR="00D2154F" w:rsidRDefault="00BE72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 Lưu: VT, SHTT (02).</w:t>
            </w:r>
          </w:p>
        </w:tc>
        <w:tc>
          <w:tcPr>
            <w:tcW w:w="5508" w:type="dxa"/>
          </w:tcPr>
          <w:p w:rsidR="00D2154F" w:rsidRDefault="00BE72F1">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BỘ TRƯỞNG</w:t>
            </w:r>
          </w:p>
          <w:p w:rsidR="00D2154F" w:rsidRDefault="00D2154F">
            <w:pPr>
              <w:widowControl w:val="0"/>
              <w:spacing w:before="120" w:after="0" w:line="240" w:lineRule="auto"/>
              <w:jc w:val="center"/>
              <w:rPr>
                <w:rFonts w:ascii="Times New Roman" w:eastAsia="Times New Roman" w:hAnsi="Times New Roman" w:cs="Times New Roman"/>
                <w:b/>
                <w:sz w:val="28"/>
                <w:szCs w:val="28"/>
              </w:rPr>
            </w:pPr>
          </w:p>
          <w:p w:rsidR="00D2154F" w:rsidRDefault="00D2154F">
            <w:pPr>
              <w:widowControl w:val="0"/>
              <w:spacing w:before="120" w:after="0" w:line="240" w:lineRule="auto"/>
              <w:jc w:val="center"/>
              <w:rPr>
                <w:rFonts w:ascii="Times New Roman" w:eastAsia="Times New Roman" w:hAnsi="Times New Roman" w:cs="Times New Roman"/>
                <w:b/>
                <w:sz w:val="28"/>
                <w:szCs w:val="28"/>
              </w:rPr>
            </w:pPr>
          </w:p>
          <w:p w:rsidR="00D2154F" w:rsidRDefault="00D2154F">
            <w:pPr>
              <w:widowControl w:val="0"/>
              <w:spacing w:before="120" w:after="0" w:line="240" w:lineRule="auto"/>
              <w:jc w:val="center"/>
              <w:rPr>
                <w:rFonts w:ascii="Times New Roman" w:eastAsia="Times New Roman" w:hAnsi="Times New Roman" w:cs="Times New Roman"/>
                <w:b/>
                <w:sz w:val="28"/>
                <w:szCs w:val="28"/>
              </w:rPr>
            </w:pPr>
          </w:p>
          <w:p w:rsidR="00D2154F" w:rsidRDefault="00D2154F">
            <w:pPr>
              <w:widowControl w:val="0"/>
              <w:spacing w:before="120" w:after="0" w:line="240" w:lineRule="auto"/>
              <w:jc w:val="center"/>
              <w:rPr>
                <w:rFonts w:ascii="Times New Roman" w:eastAsia="Times New Roman" w:hAnsi="Times New Roman" w:cs="Times New Roman"/>
                <w:b/>
                <w:sz w:val="28"/>
                <w:szCs w:val="28"/>
              </w:rPr>
            </w:pPr>
          </w:p>
          <w:p w:rsidR="00D2154F" w:rsidRDefault="00D2154F">
            <w:pPr>
              <w:widowControl w:val="0"/>
              <w:spacing w:before="120" w:after="0" w:line="240" w:lineRule="auto"/>
              <w:jc w:val="center"/>
              <w:rPr>
                <w:rFonts w:ascii="Times New Roman" w:eastAsia="Times New Roman" w:hAnsi="Times New Roman" w:cs="Times New Roman"/>
                <w:b/>
                <w:sz w:val="28"/>
                <w:szCs w:val="28"/>
              </w:rPr>
            </w:pPr>
          </w:p>
        </w:tc>
      </w:tr>
    </w:tbl>
    <w:p w:rsidR="00D2154F" w:rsidRDefault="00D2154F">
      <w:pPr>
        <w:spacing w:before="60" w:after="60" w:line="300" w:lineRule="auto"/>
        <w:ind w:left="567"/>
        <w:jc w:val="both"/>
        <w:rPr>
          <w:rFonts w:ascii="Times New Roman" w:eastAsia="Times New Roman" w:hAnsi="Times New Roman" w:cs="Times New Roman"/>
          <w:sz w:val="28"/>
          <w:szCs w:val="28"/>
        </w:rPr>
      </w:pPr>
    </w:p>
    <w:sectPr w:rsidR="00D2154F">
      <w:headerReference w:type="default" r:id="rId10"/>
      <w:footerReference w:type="default" r:id="rId11"/>
      <w:pgSz w:w="12240" w:h="15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613" w:rsidRDefault="00582613">
      <w:pPr>
        <w:spacing w:after="0" w:line="240" w:lineRule="auto"/>
      </w:pPr>
      <w:r>
        <w:separator/>
      </w:r>
    </w:p>
  </w:endnote>
  <w:endnote w:type="continuationSeparator" w:id="0">
    <w:p w:rsidR="00582613" w:rsidRDefault="00582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54F" w:rsidRDefault="00D2154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613" w:rsidRDefault="00582613">
      <w:pPr>
        <w:spacing w:after="0" w:line="240" w:lineRule="auto"/>
      </w:pPr>
      <w:r>
        <w:separator/>
      </w:r>
    </w:p>
  </w:footnote>
  <w:footnote w:type="continuationSeparator" w:id="0">
    <w:p w:rsidR="00582613" w:rsidRDefault="00582613">
      <w:pPr>
        <w:spacing w:after="0" w:line="240" w:lineRule="auto"/>
      </w:pPr>
      <w:r>
        <w:continuationSeparator/>
      </w:r>
    </w:p>
  </w:footnote>
  <w:footnote w:id="1">
    <w:p w:rsidR="00920909" w:rsidRPr="00920909" w:rsidRDefault="00920909" w:rsidP="00920909">
      <w:pPr>
        <w:pStyle w:val="FootnoteText"/>
        <w:jc w:val="both"/>
        <w:rPr>
          <w:rFonts w:ascii="Times New Roman" w:hAnsi="Times New Roman" w:cs="Times New Roman"/>
          <w:lang w:val="en-US"/>
        </w:rPr>
      </w:pPr>
      <w:r w:rsidRPr="00920909">
        <w:rPr>
          <w:rStyle w:val="FootnoteReference"/>
          <w:rFonts w:ascii="Times New Roman" w:hAnsi="Times New Roman" w:cs="Times New Roman"/>
        </w:rPr>
        <w:footnoteRef/>
      </w:r>
      <w:r w:rsidRPr="00920909">
        <w:rPr>
          <w:rFonts w:ascii="Times New Roman" w:hAnsi="Times New Roman" w:cs="Times New Roman"/>
        </w:rPr>
        <w:t xml:space="preserve"> Cụ thể, đã có 16 địa phương, 06 Bộ, cơ quan ngang Bộ, một số cơ quan thuộc Bộ KH&amp;CN, một số tổ chức đại diện sở hữu công nghiệp, Hội Sở hữu trí tuệ Việt Nam đã có báo cáo bằng văn bản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54F" w:rsidRDefault="00BE72F1">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C75D3E">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D2154F" w:rsidRDefault="00D2154F">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305DB"/>
    <w:multiLevelType w:val="multilevel"/>
    <w:tmpl w:val="BB2615DA"/>
    <w:lvl w:ilvl="0">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54F"/>
    <w:rsid w:val="00582613"/>
    <w:rsid w:val="00920909"/>
    <w:rsid w:val="00BE72F1"/>
    <w:rsid w:val="00C75D3E"/>
    <w:rsid w:val="00D21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920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0909"/>
    <w:rPr>
      <w:sz w:val="20"/>
      <w:szCs w:val="20"/>
    </w:rPr>
  </w:style>
  <w:style w:type="character" w:styleId="FootnoteReference">
    <w:name w:val="footnote reference"/>
    <w:basedOn w:val="DefaultParagraphFont"/>
    <w:uiPriority w:val="99"/>
    <w:semiHidden/>
    <w:unhideWhenUsed/>
    <w:rsid w:val="00920909"/>
    <w:rPr>
      <w:vertAlign w:val="superscript"/>
    </w:rPr>
  </w:style>
  <w:style w:type="paragraph" w:styleId="BalloonText">
    <w:name w:val="Balloon Text"/>
    <w:basedOn w:val="Normal"/>
    <w:link w:val="BalloonTextChar"/>
    <w:uiPriority w:val="99"/>
    <w:semiHidden/>
    <w:unhideWhenUsed/>
    <w:rsid w:val="00C75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D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9209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0909"/>
    <w:rPr>
      <w:sz w:val="20"/>
      <w:szCs w:val="20"/>
    </w:rPr>
  </w:style>
  <w:style w:type="character" w:styleId="FootnoteReference">
    <w:name w:val="footnote reference"/>
    <w:basedOn w:val="DefaultParagraphFont"/>
    <w:uiPriority w:val="99"/>
    <w:semiHidden/>
    <w:unhideWhenUsed/>
    <w:rsid w:val="00920909"/>
    <w:rPr>
      <w:vertAlign w:val="superscript"/>
    </w:rPr>
  </w:style>
  <w:style w:type="paragraph" w:styleId="BalloonText">
    <w:name w:val="Balloon Text"/>
    <w:basedOn w:val="Normal"/>
    <w:link w:val="BalloonTextChar"/>
    <w:uiPriority w:val="99"/>
    <w:semiHidden/>
    <w:unhideWhenUsed/>
    <w:rsid w:val="00C75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D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3552F-6610-4066-9B6E-173F2FD9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8433</Words>
  <Characters>48074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Lam</dc:creator>
  <cp:lastModifiedBy>Hang</cp:lastModifiedBy>
  <cp:revision>3</cp:revision>
  <dcterms:created xsi:type="dcterms:W3CDTF">2025-08-28T09:41:00Z</dcterms:created>
  <dcterms:modified xsi:type="dcterms:W3CDTF">2025-08-29T08:25:00Z</dcterms:modified>
</cp:coreProperties>
</file>